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20" w:rsidRDefault="00282C21" w:rsidP="00F71920">
      <w:pPr>
        <w:tabs>
          <w:tab w:val="left" w:pos="216"/>
        </w:tabs>
        <w:rPr>
          <w:rFonts w:ascii="Franklin Gothic Medium" w:hAnsi="Franklin Gothic Medium"/>
          <w:color w:val="000000"/>
          <w:spacing w:val="-20"/>
          <w:sz w:val="36"/>
        </w:rPr>
      </w:pPr>
      <w:r>
        <w:rPr>
          <w:rFonts w:ascii="Franklin Gothic Medium" w:hAnsi="Franklin Gothic Medium"/>
          <w:noProof/>
          <w:color w:val="000000"/>
          <w:spacing w:val="-20"/>
          <w:sz w:val="36"/>
        </w:rPr>
        <w:pict>
          <v:shapetype id="_x0000_t202" coordsize="21600,21600" o:spt="202" path="m,l,21600r21600,l21600,xe">
            <v:stroke joinstyle="miter"/>
            <v:path gradientshapeok="t" o:connecttype="rect"/>
          </v:shapetype>
          <v:shape id="_x0000_s1026" type="#_x0000_t202" style="position:absolute;margin-left:276.6pt;margin-top:-54pt;width:197.85pt;height:89.95pt;z-index:-251658240" wrapcoords="-82 0 -82 21450 21600 21450 21600 0 -82 0" stroked="f">
            <v:textbox style="mso-next-textbox:#_x0000_s1026">
              <w:txbxContent>
                <w:p w:rsidR="00675743" w:rsidRPr="00D3337D" w:rsidRDefault="00675743" w:rsidP="00F71920">
                  <w:pPr>
                    <w:rPr>
                      <w:i/>
                      <w:color w:val="0768AE"/>
                      <w:sz w:val="22"/>
                      <w:szCs w:val="22"/>
                    </w:rPr>
                  </w:pPr>
                  <w:r w:rsidRPr="00D3337D">
                    <w:rPr>
                      <w:i/>
                      <w:color w:val="0768AE"/>
                      <w:sz w:val="22"/>
                      <w:szCs w:val="22"/>
                    </w:rPr>
                    <w:t>An Affiliate of the</w:t>
                  </w:r>
                </w:p>
                <w:p w:rsidR="00675743" w:rsidRPr="00D3337D" w:rsidRDefault="00675743" w:rsidP="00F71920">
                  <w:pPr>
                    <w:rPr>
                      <w:i/>
                      <w:color w:val="0768AE"/>
                      <w:sz w:val="22"/>
                      <w:szCs w:val="22"/>
                    </w:rPr>
                  </w:pPr>
                  <w:r w:rsidRPr="00D3337D">
                    <w:rPr>
                      <w:i/>
                      <w:color w:val="0768AE"/>
                      <w:sz w:val="22"/>
                      <w:szCs w:val="22"/>
                    </w:rPr>
                    <w:t>Center on Budget and Policy Priorities</w:t>
                  </w:r>
                </w:p>
                <w:p w:rsidR="00675743" w:rsidRPr="00D3337D" w:rsidRDefault="00675743" w:rsidP="00F71920">
                  <w:pPr>
                    <w:rPr>
                      <w:color w:val="0768AE"/>
                      <w:sz w:val="22"/>
                      <w:szCs w:val="22"/>
                    </w:rPr>
                  </w:pPr>
                  <w:r w:rsidRPr="00D3337D">
                    <w:rPr>
                      <w:color w:val="0768AE"/>
                      <w:sz w:val="22"/>
                      <w:szCs w:val="22"/>
                    </w:rPr>
                    <w:t>820 First Street NE, Suite 460</w:t>
                  </w:r>
                </w:p>
                <w:p w:rsidR="00675743" w:rsidRPr="00D3337D" w:rsidRDefault="00675743" w:rsidP="00F71920">
                  <w:pPr>
                    <w:rPr>
                      <w:color w:val="0768AE"/>
                      <w:sz w:val="22"/>
                      <w:szCs w:val="22"/>
                    </w:rPr>
                  </w:pPr>
                  <w:r w:rsidRPr="00D3337D">
                    <w:rPr>
                      <w:color w:val="0768AE"/>
                      <w:sz w:val="22"/>
                      <w:szCs w:val="22"/>
                    </w:rPr>
                    <w:t>Washington, DC 20002</w:t>
                  </w:r>
                </w:p>
                <w:p w:rsidR="00675743" w:rsidRPr="00D3337D" w:rsidRDefault="00675743" w:rsidP="00F71920">
                  <w:pPr>
                    <w:rPr>
                      <w:color w:val="0768AE"/>
                      <w:sz w:val="22"/>
                      <w:szCs w:val="22"/>
                    </w:rPr>
                  </w:pPr>
                  <w:r w:rsidRPr="00D3337D">
                    <w:rPr>
                      <w:color w:val="0768AE"/>
                      <w:sz w:val="22"/>
                      <w:szCs w:val="22"/>
                    </w:rPr>
                    <w:t>(202) 408-1080 Fax (202) 408-8173</w:t>
                  </w:r>
                </w:p>
                <w:p w:rsidR="00675743" w:rsidRPr="00D3337D" w:rsidRDefault="00675743" w:rsidP="00F71920">
                  <w:pPr>
                    <w:rPr>
                      <w:color w:val="0768AE"/>
                      <w:sz w:val="22"/>
                      <w:szCs w:val="22"/>
                    </w:rPr>
                  </w:pPr>
                  <w:r w:rsidRPr="00D3337D">
                    <w:rPr>
                      <w:color w:val="0768AE"/>
                      <w:sz w:val="22"/>
                      <w:szCs w:val="22"/>
                    </w:rPr>
                    <w:t xml:space="preserve"> www.dcfpi.org</w:t>
                  </w:r>
                </w:p>
                <w:p w:rsidR="00675743" w:rsidRPr="00A11D30" w:rsidRDefault="00675743" w:rsidP="00F71920"/>
                <w:p w:rsidR="00675743" w:rsidRDefault="00675743" w:rsidP="00F71920"/>
              </w:txbxContent>
            </v:textbox>
            <w10:wrap type="tight"/>
          </v:shape>
        </w:pict>
      </w:r>
      <w:r w:rsidR="00F71920">
        <w:rPr>
          <w:rFonts w:ascii="Franklin Gothic Medium" w:hAnsi="Franklin Gothic Medium"/>
          <w:noProof/>
          <w:color w:val="000000"/>
          <w:spacing w:val="-20"/>
          <w:sz w:val="36"/>
        </w:rPr>
        <w:drawing>
          <wp:anchor distT="0" distB="0" distL="114300" distR="114300" simplePos="0" relativeHeight="251657216" behindDoc="0" locked="0" layoutInCell="1" allowOverlap="1">
            <wp:simplePos x="0" y="0"/>
            <wp:positionH relativeFrom="column">
              <wp:posOffset>-422910</wp:posOffset>
            </wp:positionH>
            <wp:positionV relativeFrom="paragraph">
              <wp:posOffset>-571500</wp:posOffset>
            </wp:positionV>
            <wp:extent cx="3505200" cy="1028065"/>
            <wp:effectExtent l="19050" t="0" r="0" b="0"/>
            <wp:wrapSquare wrapText="bothSides"/>
            <wp:docPr id="21" name="Picture 21" descr="dcfpi-shor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fpi-shortline"/>
                    <pic:cNvPicPr>
                      <a:picLocks noChangeAspect="1" noChangeArrowheads="1"/>
                    </pic:cNvPicPr>
                  </pic:nvPicPr>
                  <pic:blipFill>
                    <a:blip r:embed="rId8" cstate="print"/>
                    <a:srcRect/>
                    <a:stretch>
                      <a:fillRect/>
                    </a:stretch>
                  </pic:blipFill>
                  <pic:spPr bwMode="auto">
                    <a:xfrm>
                      <a:off x="0" y="0"/>
                      <a:ext cx="3505200" cy="1028065"/>
                    </a:xfrm>
                    <a:prstGeom prst="rect">
                      <a:avLst/>
                    </a:prstGeom>
                    <a:noFill/>
                    <a:ln w="9525">
                      <a:noFill/>
                      <a:miter lim="800000"/>
                      <a:headEnd/>
                      <a:tailEnd/>
                    </a:ln>
                  </pic:spPr>
                </pic:pic>
              </a:graphicData>
            </a:graphic>
          </wp:anchor>
        </w:drawing>
      </w:r>
    </w:p>
    <w:p w:rsidR="00F71920" w:rsidRDefault="00F71920" w:rsidP="00F71920">
      <w:pPr>
        <w:tabs>
          <w:tab w:val="left" w:pos="216"/>
        </w:tabs>
        <w:jc w:val="center"/>
        <w:rPr>
          <w:rFonts w:ascii="Franklin Gothic Medium" w:hAnsi="Franklin Gothic Medium"/>
          <w:color w:val="000000"/>
          <w:spacing w:val="-20"/>
          <w:sz w:val="36"/>
        </w:rPr>
      </w:pPr>
    </w:p>
    <w:p w:rsidR="00F71920" w:rsidRDefault="00F71920" w:rsidP="00F71920">
      <w:pPr>
        <w:jc w:val="center"/>
      </w:pPr>
      <w:r w:rsidRPr="006259BC">
        <w:tab/>
      </w:r>
    </w:p>
    <w:p w:rsidR="0088108E" w:rsidRDefault="007D7BE7" w:rsidP="00F71920">
      <w:pPr>
        <w:jc w:val="right"/>
        <w:rPr>
          <w:i/>
          <w:caps/>
          <w:color w:val="0768AE"/>
          <w:spacing w:val="-20"/>
          <w:sz w:val="22"/>
          <w:szCs w:val="22"/>
        </w:rPr>
      </w:pPr>
      <w:r>
        <w:rPr>
          <w:i/>
          <w:color w:val="0768AE"/>
          <w:spacing w:val="-20"/>
          <w:sz w:val="22"/>
          <w:szCs w:val="22"/>
        </w:rPr>
        <w:t>May 21</w:t>
      </w:r>
      <w:r w:rsidR="0017361A">
        <w:rPr>
          <w:i/>
          <w:color w:val="0768AE"/>
          <w:spacing w:val="-20"/>
          <w:sz w:val="22"/>
          <w:szCs w:val="22"/>
        </w:rPr>
        <w:t>, 2012</w:t>
      </w:r>
    </w:p>
    <w:p w:rsidR="0017361A" w:rsidRDefault="0017361A" w:rsidP="0017361A">
      <w:pPr>
        <w:pStyle w:val="Title"/>
      </w:pPr>
    </w:p>
    <w:p w:rsidR="0017361A" w:rsidRPr="00675743" w:rsidRDefault="0017361A" w:rsidP="0017361A">
      <w:pPr>
        <w:pStyle w:val="Title"/>
        <w:rPr>
          <w:rFonts w:ascii="Franklin Gothic Medium Cond" w:hAnsi="Franklin Gothic Medium Cond"/>
        </w:rPr>
      </w:pPr>
      <w:r w:rsidRPr="00675743">
        <w:rPr>
          <w:rFonts w:ascii="Franklin Gothic Medium Cond" w:hAnsi="Franklin Gothic Medium Cond"/>
        </w:rPr>
        <w:t>Unemployment Rates improving in the district</w:t>
      </w:r>
    </w:p>
    <w:p w:rsidR="0017361A" w:rsidRDefault="0017361A" w:rsidP="0017361A">
      <w:pPr>
        <w:jc w:val="center"/>
      </w:pPr>
      <w:r>
        <w:t>By Caitlin Biegler</w:t>
      </w:r>
    </w:p>
    <w:p w:rsidR="0017361A" w:rsidRDefault="0017361A" w:rsidP="0017361A">
      <w:pPr>
        <w:ind w:firstLine="216"/>
      </w:pPr>
    </w:p>
    <w:p w:rsidR="0017361A" w:rsidRDefault="0017361A" w:rsidP="00675743">
      <w:pPr>
        <w:ind w:firstLine="216"/>
      </w:pPr>
      <w:r>
        <w:t xml:space="preserve">The District began 2012 on a positive note, as the city’s unemployment rate dropped in the first quarter. </w:t>
      </w:r>
      <w:r w:rsidRPr="007B20F5">
        <w:t xml:space="preserve">As of </w:t>
      </w:r>
      <w:r>
        <w:t>March 2012</w:t>
      </w:r>
      <w:r w:rsidRPr="007B20F5">
        <w:t xml:space="preserve">, </w:t>
      </w:r>
      <w:r>
        <w:t xml:space="preserve">the city’s </w:t>
      </w:r>
      <w:r w:rsidRPr="007B20F5">
        <w:t>unemp</w:t>
      </w:r>
      <w:r>
        <w:t>loyment</w:t>
      </w:r>
      <w:r w:rsidRPr="007B20F5">
        <w:t xml:space="preserve"> rate </w:t>
      </w:r>
      <w:r>
        <w:t>stood at 9.8 percent, down</w:t>
      </w:r>
      <w:r w:rsidRPr="007B20F5">
        <w:t xml:space="preserve"> from </w:t>
      </w:r>
      <w:r>
        <w:t>10.1</w:t>
      </w:r>
      <w:r w:rsidRPr="007B20F5">
        <w:t xml:space="preserve"> </w:t>
      </w:r>
      <w:r>
        <w:t>percent in December</w:t>
      </w:r>
      <w:r w:rsidRPr="007B20F5">
        <w:t>.</w:t>
      </w:r>
      <w:r>
        <w:rPr>
          <w:rStyle w:val="EndnoteReference"/>
        </w:rPr>
        <w:endnoteReference w:id="1"/>
      </w:r>
      <w:r w:rsidRPr="007B20F5">
        <w:t> </w:t>
      </w:r>
      <w:r>
        <w:t xml:space="preserve"> </w:t>
      </w:r>
    </w:p>
    <w:p w:rsidR="0017361A" w:rsidRDefault="0017361A" w:rsidP="00675743">
      <w:pPr>
        <w:tabs>
          <w:tab w:val="left" w:pos="216"/>
        </w:tabs>
      </w:pPr>
    </w:p>
    <w:p w:rsidR="0017361A" w:rsidRDefault="0017361A" w:rsidP="00675743">
      <w:pPr>
        <w:ind w:firstLine="216"/>
      </w:pPr>
      <w:r>
        <w:t>DC Fiscal Policy Institute</w:t>
      </w:r>
      <w:r w:rsidRPr="009165F7">
        <w:t xml:space="preserve"> </w:t>
      </w:r>
      <w:r>
        <w:t>is</w:t>
      </w:r>
      <w:r w:rsidRPr="009165F7">
        <w:t xml:space="preserve"> tracking changes in</w:t>
      </w:r>
      <w:r>
        <w:t xml:space="preserve"> the city’s </w:t>
      </w:r>
      <w:r w:rsidRPr="009165F7">
        <w:t>unemployment</w:t>
      </w:r>
      <w:r>
        <w:t xml:space="preserve"> rate</w:t>
      </w:r>
      <w:r w:rsidRPr="009165F7">
        <w:t xml:space="preserve"> on a quarterly basis</w:t>
      </w:r>
      <w:r>
        <w:t>.</w:t>
      </w:r>
      <w:r>
        <w:rPr>
          <w:rStyle w:val="EndnoteReference"/>
        </w:rPr>
        <w:endnoteReference w:id="2"/>
      </w:r>
      <w:r>
        <w:rPr>
          <w:rStyle w:val="EndnoteReference"/>
        </w:rPr>
        <w:t>.</w:t>
      </w:r>
      <w:r w:rsidRPr="009165F7">
        <w:t> </w:t>
      </w:r>
      <w:r>
        <w:t>Analysis of data from the Census Bureau’s Current Population Survey</w:t>
      </w:r>
      <w:r>
        <w:rPr>
          <w:rStyle w:val="EndnoteReference"/>
        </w:rPr>
        <w:endnoteReference w:id="3"/>
      </w:r>
      <w:r>
        <w:t xml:space="preserve"> reflects DC’s recovery from the recession and shows that unemployment is finally declining, but some</w:t>
      </w:r>
      <w:r w:rsidRPr="00DE36D0">
        <w:t xml:space="preserve"> </w:t>
      </w:r>
      <w:r>
        <w:t>groups of residents</w:t>
      </w:r>
      <w:r w:rsidRPr="00DE36D0">
        <w:t xml:space="preserve"> are still </w:t>
      </w:r>
      <w:r>
        <w:t xml:space="preserve">facing </w:t>
      </w:r>
      <w:r w:rsidRPr="00DE36D0">
        <w:t xml:space="preserve">high </w:t>
      </w:r>
      <w:r>
        <w:t xml:space="preserve">rates of joblessness, particularly low-wage and young workers. </w:t>
      </w:r>
      <w:r>
        <w:rPr>
          <w:noProof/>
        </w:rPr>
        <w:t>This analysis looks</w:t>
      </w:r>
      <w:r w:rsidRPr="009165F7">
        <w:t xml:space="preserve"> at unemployment by </w:t>
      </w:r>
      <w:r>
        <w:t>education, race/ethnicity, age, household, and occupation and focuses on unemployment in the first quarter of 2012 (January to March), the most recent three months for which data are available.</w:t>
      </w:r>
    </w:p>
    <w:p w:rsidR="0017361A" w:rsidRDefault="0017361A" w:rsidP="00675743">
      <w:pPr>
        <w:ind w:firstLine="216"/>
      </w:pPr>
    </w:p>
    <w:p w:rsidR="0017361A" w:rsidRDefault="0017361A" w:rsidP="00675743">
      <w:pPr>
        <w:ind w:firstLine="216"/>
      </w:pPr>
      <w:r>
        <w:t xml:space="preserve">Unemployment fell for most groups of DC residents, including those with no more than a high school diploma, residents of all races and ethnicities, and for most family types and age groups.  There were some notable increases in unemployment for workers in low-wage occupations and for young workers. </w:t>
      </w:r>
    </w:p>
    <w:tbl>
      <w:tblPr>
        <w:tblpPr w:leftFromText="187" w:rightFromText="187" w:topFromText="130" w:bottomFromText="130" w:vertAnchor="page" w:horzAnchor="margin" w:tblpXSpec="right" w:tblpY="8461"/>
        <w:tblOverlap w:val="never"/>
        <w:tblW w:w="5854" w:type="dxa"/>
        <w:tblBorders>
          <w:insideH w:val="single" w:sz="4" w:space="0" w:color="auto"/>
        </w:tblBorders>
        <w:tblLayout w:type="fixed"/>
        <w:tblLook w:val="0000"/>
      </w:tblPr>
      <w:tblGrid>
        <w:gridCol w:w="5854"/>
      </w:tblGrid>
      <w:tr w:rsidR="00675743" w:rsidRPr="008D666F" w:rsidTr="00675743">
        <w:trPr>
          <w:cantSplit/>
          <w:trHeight w:val="129"/>
        </w:trPr>
        <w:tc>
          <w:tcPr>
            <w:tcW w:w="5854"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675743" w:rsidRPr="008D666F" w:rsidRDefault="00675743" w:rsidP="00675743">
            <w:pPr>
              <w:jc w:val="center"/>
              <w:rPr>
                <w:rFonts w:ascii="Franklin Gothic Book" w:hAnsi="Franklin Gothic Book" w:cs="Arial"/>
                <w:color w:val="FFFFFF"/>
              </w:rPr>
            </w:pPr>
            <w:r>
              <w:rPr>
                <w:rFonts w:ascii="Franklin Gothic Book" w:hAnsi="Franklin Gothic Book" w:cs="Arial"/>
                <w:color w:val="FFFFFF"/>
              </w:rPr>
              <w:t>Figure 1</w:t>
            </w:r>
          </w:p>
        </w:tc>
      </w:tr>
      <w:tr w:rsidR="00675743" w:rsidRPr="00DD09EC" w:rsidTr="00675743">
        <w:trPr>
          <w:cantSplit/>
          <w:trHeight w:val="97"/>
        </w:trPr>
        <w:tc>
          <w:tcPr>
            <w:tcW w:w="5854"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675743" w:rsidRPr="00E60810" w:rsidRDefault="00675743" w:rsidP="00675743">
            <w:pPr>
              <w:jc w:val="center"/>
              <w:rPr>
                <w:rFonts w:ascii="Franklin Gothic Medium" w:hAnsi="Franklin Gothic Medium" w:cs="Arial"/>
                <w:color w:val="FFFFFF"/>
                <w:sz w:val="26"/>
                <w:szCs w:val="26"/>
              </w:rPr>
            </w:pPr>
            <w:r w:rsidRPr="00E60810">
              <w:rPr>
                <w:rFonts w:ascii="Franklin Gothic Medium" w:hAnsi="Franklin Gothic Medium"/>
                <w:color w:val="FFFFFF"/>
                <w:sz w:val="26"/>
                <w:szCs w:val="26"/>
              </w:rPr>
              <w:t>Unemployment Highest Among Residents with Less than a High School Diploma</w:t>
            </w:r>
          </w:p>
        </w:tc>
      </w:tr>
      <w:tr w:rsidR="00675743" w:rsidRPr="00982217" w:rsidTr="00675743">
        <w:trPr>
          <w:cantSplit/>
          <w:trHeight w:val="3588"/>
        </w:trPr>
        <w:tc>
          <w:tcPr>
            <w:tcW w:w="5854"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675743" w:rsidRPr="00982217" w:rsidRDefault="00675743" w:rsidP="00675743">
            <w:pPr>
              <w:rPr>
                <w:rFonts w:ascii="Franklin Gothic Book" w:hAnsi="Franklin Gothic Book" w:cs="Arial"/>
                <w:color w:val="0081C6"/>
                <w:sz w:val="28"/>
                <w:szCs w:val="28"/>
              </w:rPr>
            </w:pPr>
            <w:r w:rsidRPr="00A27677">
              <w:rPr>
                <w:rFonts w:ascii="Franklin Gothic Book" w:hAnsi="Franklin Gothic Book" w:cs="Arial"/>
                <w:noProof/>
                <w:color w:val="0081C6"/>
                <w:sz w:val="28"/>
                <w:szCs w:val="28"/>
              </w:rPr>
              <w:drawing>
                <wp:inline distT="0" distB="0" distL="0" distR="0">
                  <wp:extent cx="3762375" cy="2600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17361A" w:rsidRDefault="0017361A" w:rsidP="00675743">
      <w:pPr>
        <w:ind w:firstLine="216"/>
      </w:pPr>
    </w:p>
    <w:p w:rsidR="0017361A" w:rsidRDefault="0017361A" w:rsidP="00675743">
      <w:pPr>
        <w:ind w:firstLine="216"/>
      </w:pPr>
      <w:r>
        <w:t>Even with recent declines for many groups, unemployment in the District remains far higher than pre-recession levels.</w:t>
      </w:r>
      <w:bookmarkStart w:id="0" w:name="_GoBack"/>
      <w:bookmarkEnd w:id="0"/>
    </w:p>
    <w:p w:rsidR="0017361A" w:rsidRDefault="0017361A" w:rsidP="0017361A"/>
    <w:p w:rsidR="0017361A" w:rsidRPr="00675743" w:rsidRDefault="0017361A" w:rsidP="0017361A">
      <w:pPr>
        <w:pStyle w:val="Heading1"/>
        <w:rPr>
          <w:b w:val="0"/>
          <w:color w:val="006699"/>
          <w:sz w:val="28"/>
          <w:szCs w:val="28"/>
        </w:rPr>
      </w:pPr>
      <w:r w:rsidRPr="00675743">
        <w:rPr>
          <w:b w:val="0"/>
          <w:color w:val="006699"/>
          <w:sz w:val="28"/>
          <w:szCs w:val="28"/>
        </w:rPr>
        <w:t>Unemployment by Education Level</w:t>
      </w:r>
    </w:p>
    <w:p w:rsidR="0017361A" w:rsidRPr="00675743" w:rsidRDefault="0017361A" w:rsidP="0017361A">
      <w:pPr>
        <w:pStyle w:val="Heading1"/>
        <w:rPr>
          <w:b w:val="0"/>
        </w:rPr>
      </w:pPr>
    </w:p>
    <w:p w:rsidR="0017361A" w:rsidRPr="009648BE" w:rsidRDefault="0017361A" w:rsidP="0017361A">
      <w:pPr>
        <w:ind w:firstLine="216"/>
      </w:pPr>
      <w:r>
        <w:t>The unemployment rates for DC residents with a high school diploma but no higher education or less than a high school diploma saw substantial increases during the recession.  I</w:t>
      </w:r>
      <w:r w:rsidRPr="009648BE">
        <w:t>n the most recent quarter, the unemployment rate for</w:t>
      </w:r>
      <w:r>
        <w:t xml:space="preserve"> these</w:t>
      </w:r>
      <w:r w:rsidRPr="009648BE">
        <w:t xml:space="preserve"> residents </w:t>
      </w:r>
      <w:r>
        <w:t>fell slightly but remains above the pre-recession level</w:t>
      </w:r>
      <w:r w:rsidRPr="009648BE">
        <w:t>. On the other hand, college graduates are seeing fairly stable, low rates of unemployment</w:t>
      </w:r>
      <w:r>
        <w:t xml:space="preserve"> (see Figure1)</w:t>
      </w:r>
      <w:r w:rsidRPr="009648BE">
        <w:t>.</w:t>
      </w:r>
    </w:p>
    <w:p w:rsidR="0017361A" w:rsidRPr="00EA24FB" w:rsidRDefault="0017361A" w:rsidP="0017361A">
      <w:pPr>
        <w:pStyle w:val="ListBullet"/>
        <w:widowControl/>
      </w:pPr>
      <w:r>
        <w:rPr>
          <w:b/>
          <w:color w:val="006699"/>
        </w:rPr>
        <w:lastRenderedPageBreak/>
        <w:t xml:space="preserve">Unemployment Fell Most for </w:t>
      </w:r>
      <w:r w:rsidRPr="00EA24FB">
        <w:rPr>
          <w:b/>
          <w:color w:val="006699"/>
        </w:rPr>
        <w:t xml:space="preserve">Residents with a </w:t>
      </w:r>
      <w:r>
        <w:rPr>
          <w:b/>
          <w:color w:val="006699"/>
        </w:rPr>
        <w:t>H</w:t>
      </w:r>
      <w:r w:rsidRPr="00EA24FB">
        <w:rPr>
          <w:b/>
          <w:color w:val="006699"/>
        </w:rPr>
        <w:t xml:space="preserve">igh </w:t>
      </w:r>
      <w:r>
        <w:rPr>
          <w:b/>
          <w:color w:val="006699"/>
        </w:rPr>
        <w:t>S</w:t>
      </w:r>
      <w:r w:rsidRPr="00EA24FB">
        <w:rPr>
          <w:b/>
          <w:color w:val="006699"/>
        </w:rPr>
        <w:t xml:space="preserve">chool </w:t>
      </w:r>
      <w:r>
        <w:rPr>
          <w:b/>
          <w:color w:val="006699"/>
        </w:rPr>
        <w:t>D</w:t>
      </w:r>
      <w:r w:rsidRPr="00EA24FB">
        <w:rPr>
          <w:b/>
          <w:color w:val="006699"/>
        </w:rPr>
        <w:t>iploma</w:t>
      </w:r>
      <w:r>
        <w:rPr>
          <w:b/>
          <w:color w:val="006699"/>
        </w:rPr>
        <w:t>.</w:t>
      </w:r>
      <w:r w:rsidRPr="00EA24FB">
        <w:t xml:space="preserve"> </w:t>
      </w:r>
      <w:r w:rsidR="00675743">
        <w:t xml:space="preserve"> </w:t>
      </w:r>
      <w:r w:rsidRPr="00EA24FB">
        <w:t xml:space="preserve">The unemployment rate for DC residents with a high school degree rose </w:t>
      </w:r>
      <w:r>
        <w:t xml:space="preserve">substantially from 2007 to fourth quarter 2011, from 9.7 percent </w:t>
      </w:r>
      <w:r w:rsidRPr="00EA24FB">
        <w:t>to 25.3 percent</w:t>
      </w:r>
      <w:r w:rsidRPr="00EA24FB">
        <w:rPr>
          <w:b/>
        </w:rPr>
        <w:t>.</w:t>
      </w:r>
      <w:r w:rsidRPr="00EA24FB">
        <w:rPr>
          <w:rStyle w:val="FootnoteReference"/>
          <w:b/>
        </w:rPr>
        <w:footnoteReference w:id="1"/>
      </w:r>
      <w:r w:rsidRPr="00EA24FB">
        <w:rPr>
          <w:b/>
        </w:rPr>
        <w:t xml:space="preserve"> </w:t>
      </w:r>
      <w:r w:rsidRPr="00EA24FB">
        <w:t>Recently though, this group has seen a considerable decrease in unemployment, to 19.8 perce</w:t>
      </w:r>
      <w:r>
        <w:t>nt in the first quarter of 2012, and these residents  no longer have the highest unemployment rate by education.</w:t>
      </w:r>
    </w:p>
    <w:p w:rsidR="0017361A" w:rsidRPr="00A556E2" w:rsidRDefault="0017361A" w:rsidP="0017361A"/>
    <w:tbl>
      <w:tblPr>
        <w:tblpPr w:leftFromText="187" w:rightFromText="187" w:topFromText="130" w:bottomFromText="130" w:vertAnchor="text" w:horzAnchor="margin" w:tblpXSpec="right" w:tblpY="481"/>
        <w:tblW w:w="78" w:type="dxa"/>
        <w:tblInd w:w="-110" w:type="dxa"/>
        <w:tblBorders>
          <w:insideH w:val="single" w:sz="4" w:space="0" w:color="auto"/>
        </w:tblBorders>
        <w:tblLayout w:type="fixed"/>
        <w:tblLook w:val="0000"/>
      </w:tblPr>
      <w:tblGrid>
        <w:gridCol w:w="78"/>
      </w:tblGrid>
      <w:tr w:rsidR="0017361A" w:rsidRPr="00724932" w:rsidTr="00675743">
        <w:trPr>
          <w:trHeight w:val="32"/>
        </w:trPr>
        <w:tc>
          <w:tcPr>
            <w:tcW w:w="78"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17361A" w:rsidRPr="00724932" w:rsidRDefault="0017361A" w:rsidP="00675743">
            <w:pPr>
              <w:rPr>
                <w:rFonts w:ascii="Franklin Gothic Book" w:hAnsi="Franklin Gothic Book" w:cs="Arial"/>
                <w:i/>
                <w:color w:val="0081C6"/>
                <w:sz w:val="28"/>
                <w:szCs w:val="28"/>
              </w:rPr>
            </w:pPr>
          </w:p>
        </w:tc>
      </w:tr>
    </w:tbl>
    <w:p w:rsidR="0017361A" w:rsidRPr="00026F87" w:rsidRDefault="0017361A" w:rsidP="0017361A">
      <w:pPr>
        <w:pStyle w:val="ListBullet"/>
      </w:pPr>
      <w:r w:rsidRPr="00EA24FB">
        <w:rPr>
          <w:b/>
          <w:color w:val="006699"/>
        </w:rPr>
        <w:t>Residents with less than a high school diploma</w:t>
      </w:r>
      <w:r>
        <w:rPr>
          <w:b/>
          <w:color w:val="006699"/>
        </w:rPr>
        <w:t xml:space="preserve"> also</w:t>
      </w:r>
      <w:r w:rsidRPr="00EA24FB">
        <w:rPr>
          <w:b/>
          <w:color w:val="006699"/>
        </w:rPr>
        <w:t xml:space="preserve"> saw a </w:t>
      </w:r>
      <w:r>
        <w:rPr>
          <w:b/>
          <w:color w:val="006699"/>
        </w:rPr>
        <w:t>decrease</w:t>
      </w:r>
      <w:r w:rsidRPr="00EA24FB">
        <w:rPr>
          <w:b/>
          <w:color w:val="006699"/>
        </w:rPr>
        <w:t xml:space="preserve"> in unemployment in the recent quarter.</w:t>
      </w:r>
      <w:r w:rsidRPr="00EA24FB">
        <w:t xml:space="preserve"> </w:t>
      </w:r>
      <w:r w:rsidR="00675743">
        <w:t xml:space="preserve"> </w:t>
      </w:r>
      <w:r w:rsidRPr="00EA24FB">
        <w:t xml:space="preserve">While unemployment among residents without a high school diploma is highest by education level in the District, unemployment </w:t>
      </w:r>
      <w:r>
        <w:t xml:space="preserve">among these residents fell </w:t>
      </w:r>
      <w:r w:rsidRPr="00EA24FB">
        <w:t>during the first quarter of 2012.</w:t>
      </w:r>
      <w:r>
        <w:t xml:space="preserve"> Unemployment among District residents without a high school diploma dropped from 24.9 percent to 22.1 percent.</w:t>
      </w:r>
    </w:p>
    <w:tbl>
      <w:tblPr>
        <w:tblpPr w:leftFromText="187" w:rightFromText="187" w:topFromText="130" w:bottomFromText="130" w:vertAnchor="page" w:horzAnchor="page" w:tblpX="5616" w:tblpY="7471"/>
        <w:tblOverlap w:val="never"/>
        <w:tblW w:w="5659" w:type="dxa"/>
        <w:tblBorders>
          <w:insideH w:val="single" w:sz="4" w:space="0" w:color="auto"/>
        </w:tblBorders>
        <w:tblLayout w:type="fixed"/>
        <w:tblLook w:val="0000"/>
      </w:tblPr>
      <w:tblGrid>
        <w:gridCol w:w="5659"/>
      </w:tblGrid>
      <w:tr w:rsidR="0017361A" w:rsidRPr="001E6D5D" w:rsidTr="00675743">
        <w:trPr>
          <w:cantSplit/>
          <w:trHeight w:val="204"/>
        </w:trPr>
        <w:tc>
          <w:tcPr>
            <w:tcW w:w="5659"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17361A" w:rsidRPr="008D666F" w:rsidRDefault="0017361A" w:rsidP="00675743">
            <w:pPr>
              <w:jc w:val="center"/>
              <w:rPr>
                <w:rFonts w:ascii="Franklin Gothic Book" w:hAnsi="Franklin Gothic Book" w:cs="Arial"/>
                <w:color w:val="FFFFFF"/>
              </w:rPr>
            </w:pPr>
            <w:r>
              <w:rPr>
                <w:rFonts w:ascii="Franklin Gothic Book" w:hAnsi="Franklin Gothic Book" w:cs="Arial"/>
                <w:color w:val="FFFFFF"/>
              </w:rPr>
              <w:t>Figure 2</w:t>
            </w:r>
          </w:p>
        </w:tc>
      </w:tr>
      <w:tr w:rsidR="0017361A" w:rsidRPr="008E1D0F" w:rsidTr="00675743">
        <w:trPr>
          <w:cantSplit/>
          <w:trHeight w:val="154"/>
        </w:trPr>
        <w:tc>
          <w:tcPr>
            <w:tcW w:w="5659"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17361A" w:rsidRPr="00E60810" w:rsidRDefault="0017361A" w:rsidP="00675743">
            <w:pPr>
              <w:jc w:val="center"/>
              <w:rPr>
                <w:rFonts w:ascii="Franklin Gothic Medium" w:hAnsi="Franklin Gothic Medium" w:cs="Arial"/>
                <w:color w:val="FFFFFF"/>
                <w:sz w:val="26"/>
                <w:szCs w:val="26"/>
              </w:rPr>
            </w:pPr>
            <w:r w:rsidRPr="00E60810">
              <w:rPr>
                <w:rFonts w:ascii="Franklin Gothic Medium" w:hAnsi="Franklin Gothic Medium"/>
                <w:color w:val="FFFFFF"/>
                <w:sz w:val="26"/>
                <w:szCs w:val="26"/>
              </w:rPr>
              <w:t>Black DC Residents Still See Highest Unemployment Rates</w:t>
            </w:r>
          </w:p>
        </w:tc>
      </w:tr>
      <w:tr w:rsidR="0017361A" w:rsidRPr="008E1D0F" w:rsidTr="00675743">
        <w:trPr>
          <w:cantSplit/>
          <w:trHeight w:val="100"/>
        </w:trPr>
        <w:tc>
          <w:tcPr>
            <w:tcW w:w="5659"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17361A" w:rsidRPr="00982217" w:rsidRDefault="0017361A" w:rsidP="00675743">
            <w:pPr>
              <w:jc w:val="center"/>
              <w:rPr>
                <w:rFonts w:ascii="Franklin Gothic Book" w:hAnsi="Franklin Gothic Book" w:cs="Arial"/>
                <w:color w:val="0081C6"/>
                <w:sz w:val="28"/>
                <w:szCs w:val="28"/>
              </w:rPr>
            </w:pPr>
            <w:r w:rsidRPr="00E60810">
              <w:rPr>
                <w:rFonts w:ascii="Franklin Gothic Book" w:hAnsi="Franklin Gothic Book" w:cs="Arial"/>
                <w:noProof/>
                <w:color w:val="0081C6"/>
                <w:sz w:val="28"/>
                <w:szCs w:val="28"/>
              </w:rPr>
              <w:drawing>
                <wp:inline distT="0" distB="0" distL="0" distR="0">
                  <wp:extent cx="3476625" cy="2181225"/>
                  <wp:effectExtent l="0" t="0" r="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7361A" w:rsidRPr="00026F87" w:rsidRDefault="0017361A" w:rsidP="0017361A"/>
    <w:p w:rsidR="0017361A" w:rsidRPr="009648BE" w:rsidRDefault="0017361A" w:rsidP="0017361A">
      <w:pPr>
        <w:pStyle w:val="ListBullet"/>
      </w:pPr>
      <w:r w:rsidRPr="009648BE">
        <w:rPr>
          <w:b/>
          <w:color w:val="006699"/>
        </w:rPr>
        <w:t>College graduates have had fairly stable levels of low unemployment.</w:t>
      </w:r>
      <w:r w:rsidRPr="009648BE">
        <w:rPr>
          <w:b/>
        </w:rPr>
        <w:t xml:space="preserve"> </w:t>
      </w:r>
      <w:r w:rsidR="00675743">
        <w:rPr>
          <w:b/>
        </w:rPr>
        <w:t xml:space="preserve"> </w:t>
      </w:r>
      <w:r w:rsidRPr="009648BE">
        <w:t xml:space="preserve">College graduates in the District saw a slight increase in unemployment, from 4.0 percent in the fourth quarter of 2011 to 4.4 percent in the first quarter of 2012, yet they still have the lowest unemployment rate by education. </w:t>
      </w:r>
    </w:p>
    <w:p w:rsidR="0017361A" w:rsidRDefault="0017361A" w:rsidP="0017361A"/>
    <w:p w:rsidR="0017361A" w:rsidRDefault="0017361A" w:rsidP="0017361A"/>
    <w:p w:rsidR="0017361A" w:rsidRPr="00675743" w:rsidRDefault="0017361A" w:rsidP="0017361A">
      <w:pPr>
        <w:pStyle w:val="Heading1"/>
        <w:rPr>
          <w:b w:val="0"/>
          <w:color w:val="006699"/>
          <w:sz w:val="28"/>
          <w:szCs w:val="28"/>
        </w:rPr>
      </w:pPr>
      <w:r w:rsidRPr="00675743">
        <w:rPr>
          <w:b w:val="0"/>
          <w:color w:val="006699"/>
          <w:sz w:val="28"/>
          <w:szCs w:val="28"/>
        </w:rPr>
        <w:t>Unemployment by Race/Ethnicity</w:t>
      </w:r>
    </w:p>
    <w:p w:rsidR="0017361A" w:rsidRDefault="0017361A" w:rsidP="0017361A"/>
    <w:p w:rsidR="0017361A" w:rsidRPr="00026F87" w:rsidRDefault="0017361A" w:rsidP="00675743">
      <w:pPr>
        <w:ind w:firstLine="216"/>
      </w:pPr>
      <w:r w:rsidRPr="00026F87">
        <w:t xml:space="preserve">DC’s Black residents have seen the largest increase in unemployment over the past few years, but </w:t>
      </w:r>
      <w:r>
        <w:t xml:space="preserve">unemployment dipped slightly during the first </w:t>
      </w:r>
      <w:r w:rsidRPr="00026F87">
        <w:t xml:space="preserve">quarter </w:t>
      </w:r>
      <w:r>
        <w:t>of 2012</w:t>
      </w:r>
      <w:r w:rsidRPr="00026F87">
        <w:t>. In fact, all races and ethnicities in the district experienced a drop in unemployment in the first quarter of 2012</w:t>
      </w:r>
      <w:r>
        <w:t xml:space="preserve"> (see Figure 2)</w:t>
      </w:r>
      <w:r w:rsidRPr="00026F87">
        <w:t>.</w:t>
      </w:r>
    </w:p>
    <w:p w:rsidR="0017361A" w:rsidRPr="00421234" w:rsidRDefault="0017361A" w:rsidP="00675743">
      <w:pPr>
        <w:ind w:firstLine="216"/>
        <w:rPr>
          <w:i/>
        </w:rPr>
      </w:pPr>
    </w:p>
    <w:p w:rsidR="0017361A" w:rsidRDefault="0017361A" w:rsidP="0017361A">
      <w:pPr>
        <w:pStyle w:val="ListBullet"/>
      </w:pPr>
      <w:r w:rsidRPr="00741B7C">
        <w:rPr>
          <w:rStyle w:val="Strong"/>
          <w:color w:val="006699"/>
        </w:rPr>
        <w:t>Unemployment among Black residents fell recently.</w:t>
      </w:r>
      <w:r w:rsidRPr="00741B7C">
        <w:t xml:space="preserve"> </w:t>
      </w:r>
      <w:r w:rsidR="00675743">
        <w:t xml:space="preserve"> </w:t>
      </w:r>
      <w:r w:rsidRPr="00741B7C">
        <w:t xml:space="preserve">In first quarter 2012, Black DC residents saw a decrease in unemployment, from 20.4 percent to 18. 9 percent. Unemployment for Black residents in the District is still quite high </w:t>
      </w:r>
      <w:r>
        <w:t xml:space="preserve">though, and is currently twice the 2007 rate of </w:t>
      </w:r>
      <w:r w:rsidRPr="00741B7C">
        <w:t>9.4 percent.</w:t>
      </w:r>
    </w:p>
    <w:p w:rsidR="0017361A" w:rsidRPr="00D13284" w:rsidRDefault="0017361A" w:rsidP="0017361A">
      <w:pPr>
        <w:jc w:val="right"/>
      </w:pPr>
    </w:p>
    <w:p w:rsidR="0017361A" w:rsidRPr="00D13284" w:rsidRDefault="0017361A" w:rsidP="0017361A">
      <w:pPr>
        <w:pStyle w:val="ListBullet"/>
        <w:widowControl/>
      </w:pPr>
      <w:r w:rsidRPr="00D13284">
        <w:rPr>
          <w:b/>
          <w:color w:val="006699"/>
        </w:rPr>
        <w:t xml:space="preserve">Unemployment rates among White and Hispanic DC residents have seen similar decreases. </w:t>
      </w:r>
      <w:r w:rsidR="00675743">
        <w:rPr>
          <w:b/>
          <w:color w:val="006699"/>
        </w:rPr>
        <w:t xml:space="preserve"> </w:t>
      </w:r>
      <w:r w:rsidRPr="00D13284">
        <w:t xml:space="preserve">White DC residents have experienced fairly low unemployment rates throughout the recession, and in the first quarter of 2012 the rate decreased slightly from 3.0 percent to 2.9 percent. Hispanic residents saw a more substantial decrease this past quarter 8.6 percent to 5.6 percent. </w:t>
      </w:r>
    </w:p>
    <w:p w:rsidR="0017361A" w:rsidRPr="00675743" w:rsidRDefault="0017361A" w:rsidP="0017361A">
      <w:pPr>
        <w:pStyle w:val="Heading1"/>
        <w:rPr>
          <w:b w:val="0"/>
          <w:color w:val="006699"/>
          <w:sz w:val="28"/>
          <w:szCs w:val="28"/>
        </w:rPr>
      </w:pPr>
      <w:r w:rsidRPr="00675743">
        <w:rPr>
          <w:b w:val="0"/>
          <w:color w:val="006699"/>
          <w:sz w:val="28"/>
          <w:szCs w:val="28"/>
        </w:rPr>
        <w:lastRenderedPageBreak/>
        <w:t>Unemployment by Age</w:t>
      </w:r>
    </w:p>
    <w:p w:rsidR="0017361A" w:rsidRDefault="0017361A" w:rsidP="0017361A"/>
    <w:p w:rsidR="0017361A" w:rsidRPr="007E38AE" w:rsidRDefault="0017361A" w:rsidP="00675743">
      <w:pPr>
        <w:tabs>
          <w:tab w:val="left" w:pos="216"/>
        </w:tabs>
        <w:ind w:firstLine="216"/>
      </w:pPr>
      <w:r w:rsidRPr="007E38AE">
        <w:t>Teenagers and young adults saw an increase in unemployment in first quarter 2012. All other age groups, however, saw a decrease in unemployment</w:t>
      </w:r>
      <w:r>
        <w:t xml:space="preserve"> (see Figure 3)</w:t>
      </w:r>
      <w:r w:rsidRPr="007E38AE">
        <w:t xml:space="preserve">. </w:t>
      </w:r>
    </w:p>
    <w:p w:rsidR="0017361A" w:rsidRPr="00421234" w:rsidRDefault="0017361A" w:rsidP="0017361A">
      <w:pPr>
        <w:rPr>
          <w:i/>
        </w:rPr>
      </w:pPr>
    </w:p>
    <w:p w:rsidR="0017361A" w:rsidRPr="00A02690" w:rsidRDefault="0017361A" w:rsidP="0017361A">
      <w:pPr>
        <w:pStyle w:val="ListBullet"/>
      </w:pPr>
      <w:r w:rsidRPr="00A02690">
        <w:rPr>
          <w:b/>
          <w:color w:val="006699"/>
        </w:rPr>
        <w:t>Young workers are seeing a rising unemployment rate.</w:t>
      </w:r>
      <w:r w:rsidRPr="00A02690">
        <w:rPr>
          <w:b/>
        </w:rPr>
        <w:t xml:space="preserve"> </w:t>
      </w:r>
      <w:r w:rsidRPr="00A02690">
        <w:t xml:space="preserve">After decreasing in 2011, unemployment among 16 to 24 year-old DC workers jumped from 16.8 percent to 20.5 percent. Young workers </w:t>
      </w:r>
      <w:r>
        <w:t xml:space="preserve">continue to experience </w:t>
      </w:r>
      <w:r w:rsidRPr="00A02690">
        <w:t xml:space="preserve">the highest unemployment rate by age. </w:t>
      </w:r>
    </w:p>
    <w:p w:rsidR="0017361A" w:rsidRPr="00421234" w:rsidRDefault="0017361A" w:rsidP="0017361A">
      <w:pPr>
        <w:rPr>
          <w:i/>
        </w:rPr>
      </w:pPr>
    </w:p>
    <w:p w:rsidR="0017361A" w:rsidRPr="00A02690" w:rsidRDefault="0017361A" w:rsidP="0017361A">
      <w:pPr>
        <w:pStyle w:val="ListBullet"/>
      </w:pPr>
      <w:r w:rsidRPr="00A02690">
        <w:rPr>
          <w:b/>
          <w:color w:val="006699"/>
        </w:rPr>
        <w:t>Other workers are seeing declining unemployment</w:t>
      </w:r>
      <w:r>
        <w:rPr>
          <w:b/>
          <w:color w:val="006699"/>
        </w:rPr>
        <w:t>.</w:t>
      </w:r>
      <w:r w:rsidRPr="00A02690">
        <w:rPr>
          <w:b/>
        </w:rPr>
        <w:t xml:space="preserve">  </w:t>
      </w:r>
      <w:r w:rsidRPr="00A02690">
        <w:t xml:space="preserve">In the first quarter 2012, </w:t>
      </w:r>
      <w:proofErr w:type="gramStart"/>
      <w:r w:rsidRPr="00A02690">
        <w:t>both 25-44 year</w:t>
      </w:r>
      <w:proofErr w:type="gramEnd"/>
      <w:r w:rsidRPr="00A02690">
        <w:t>-olds and 45-64 year-olds saw a decrease in unemployment. Among 25-44 year-olds, the unemployment rate dropped from 8.5 percent in fourth quarter 2011 to 7.1</w:t>
      </w:r>
      <w:r>
        <w:t xml:space="preserve"> </w:t>
      </w:r>
      <w:r w:rsidRPr="00A02690">
        <w:t xml:space="preserve">percent in first quarter 2012. Similarly, 45-64 year olds saw a decrease in the same time period from 10.7 percent to 9.7 percent. </w:t>
      </w:r>
    </w:p>
    <w:tbl>
      <w:tblPr>
        <w:tblpPr w:leftFromText="187" w:rightFromText="187" w:topFromText="130" w:bottomFromText="130" w:vertAnchor="page" w:horzAnchor="page" w:tblpX="5286" w:tblpY="3061"/>
        <w:tblOverlap w:val="never"/>
        <w:tblW w:w="6109" w:type="dxa"/>
        <w:tblBorders>
          <w:insideH w:val="single" w:sz="4" w:space="0" w:color="auto"/>
        </w:tblBorders>
        <w:tblLayout w:type="fixed"/>
        <w:tblLook w:val="0000"/>
      </w:tblPr>
      <w:tblGrid>
        <w:gridCol w:w="6109"/>
      </w:tblGrid>
      <w:tr w:rsidR="0017361A" w:rsidRPr="001E6D5D" w:rsidTr="00675743">
        <w:trPr>
          <w:cantSplit/>
          <w:trHeight w:val="177"/>
        </w:trPr>
        <w:tc>
          <w:tcPr>
            <w:tcW w:w="6109"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17361A" w:rsidRPr="008D666F" w:rsidRDefault="0017361A" w:rsidP="00675743">
            <w:pPr>
              <w:jc w:val="center"/>
              <w:rPr>
                <w:rFonts w:ascii="Franklin Gothic Book" w:hAnsi="Franklin Gothic Book" w:cs="Arial"/>
                <w:color w:val="FFFFFF"/>
              </w:rPr>
            </w:pPr>
            <w:r>
              <w:rPr>
                <w:rFonts w:ascii="Franklin Gothic Book" w:hAnsi="Franklin Gothic Book" w:cs="Arial"/>
                <w:color w:val="FFFFFF"/>
              </w:rPr>
              <w:t>Figure 3</w:t>
            </w:r>
          </w:p>
        </w:tc>
      </w:tr>
      <w:tr w:rsidR="0017361A" w:rsidRPr="008E1D0F" w:rsidTr="00675743">
        <w:trPr>
          <w:cantSplit/>
          <w:trHeight w:val="133"/>
        </w:trPr>
        <w:tc>
          <w:tcPr>
            <w:tcW w:w="6109"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17361A" w:rsidRPr="00C41063" w:rsidRDefault="0017361A" w:rsidP="00675743">
            <w:pPr>
              <w:jc w:val="center"/>
              <w:rPr>
                <w:rFonts w:ascii="Franklin Gothic Medium" w:hAnsi="Franklin Gothic Medium" w:cs="Arial"/>
                <w:color w:val="FFFFFF"/>
                <w:sz w:val="26"/>
                <w:szCs w:val="26"/>
              </w:rPr>
            </w:pPr>
            <w:r w:rsidRPr="00C41063">
              <w:rPr>
                <w:rFonts w:ascii="Franklin Gothic Medium" w:hAnsi="Franklin Gothic Medium"/>
                <w:color w:val="FFFFFF"/>
                <w:sz w:val="26"/>
                <w:szCs w:val="26"/>
              </w:rPr>
              <w:t>Young Residents See Highest Unemployment Rates, and Rising</w:t>
            </w:r>
          </w:p>
        </w:tc>
      </w:tr>
      <w:tr w:rsidR="0017361A" w:rsidRPr="008E1D0F" w:rsidTr="00675743">
        <w:trPr>
          <w:cantSplit/>
          <w:trHeight w:val="87"/>
        </w:trPr>
        <w:tc>
          <w:tcPr>
            <w:tcW w:w="6109"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17361A" w:rsidRPr="00982217" w:rsidRDefault="0017361A" w:rsidP="00675743">
            <w:pPr>
              <w:jc w:val="center"/>
              <w:rPr>
                <w:rFonts w:ascii="Franklin Gothic Book" w:hAnsi="Franklin Gothic Book" w:cs="Arial"/>
                <w:color w:val="0081C6"/>
                <w:sz w:val="28"/>
                <w:szCs w:val="28"/>
              </w:rPr>
            </w:pPr>
            <w:r w:rsidRPr="00C41063">
              <w:rPr>
                <w:rFonts w:ascii="Franklin Gothic Book" w:hAnsi="Franklin Gothic Book" w:cs="Arial"/>
                <w:noProof/>
                <w:color w:val="0081C6"/>
                <w:sz w:val="28"/>
                <w:szCs w:val="28"/>
              </w:rPr>
              <w:drawing>
                <wp:inline distT="0" distB="0" distL="0" distR="0">
                  <wp:extent cx="3790950" cy="2543175"/>
                  <wp:effectExtent l="0" t="0" r="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7361A" w:rsidRPr="00A02690" w:rsidRDefault="0017361A" w:rsidP="0017361A">
      <w:pPr>
        <w:pStyle w:val="ListBullet"/>
        <w:numPr>
          <w:ilvl w:val="0"/>
          <w:numId w:val="0"/>
        </w:numPr>
        <w:ind w:left="432" w:hanging="216"/>
      </w:pPr>
    </w:p>
    <w:p w:rsidR="0017361A" w:rsidRDefault="0017361A" w:rsidP="0017361A"/>
    <w:tbl>
      <w:tblPr>
        <w:tblpPr w:leftFromText="187" w:rightFromText="187" w:topFromText="130" w:bottomFromText="130" w:vertAnchor="page" w:horzAnchor="page" w:tblpX="5196" w:tblpY="9586"/>
        <w:tblOverlap w:val="never"/>
        <w:tblW w:w="6409" w:type="dxa"/>
        <w:tblBorders>
          <w:insideH w:val="single" w:sz="4" w:space="0" w:color="auto"/>
        </w:tblBorders>
        <w:tblLayout w:type="fixed"/>
        <w:tblLook w:val="0000"/>
      </w:tblPr>
      <w:tblGrid>
        <w:gridCol w:w="6409"/>
      </w:tblGrid>
      <w:tr w:rsidR="0017361A" w:rsidRPr="001E6D5D" w:rsidTr="00675743">
        <w:trPr>
          <w:cantSplit/>
          <w:trHeight w:val="199"/>
        </w:trPr>
        <w:tc>
          <w:tcPr>
            <w:tcW w:w="6409"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17361A" w:rsidRPr="008D666F" w:rsidRDefault="0017361A" w:rsidP="00675743">
            <w:pPr>
              <w:jc w:val="center"/>
              <w:rPr>
                <w:rFonts w:ascii="Franklin Gothic Book" w:hAnsi="Franklin Gothic Book" w:cs="Arial"/>
                <w:color w:val="FFFFFF"/>
              </w:rPr>
            </w:pPr>
            <w:r>
              <w:rPr>
                <w:rFonts w:ascii="Franklin Gothic Book" w:hAnsi="Franklin Gothic Book" w:cs="Arial"/>
                <w:color w:val="FFFFFF"/>
              </w:rPr>
              <w:t>Figure 4</w:t>
            </w:r>
          </w:p>
        </w:tc>
      </w:tr>
      <w:tr w:rsidR="0017361A" w:rsidRPr="008E1D0F" w:rsidTr="00675743">
        <w:trPr>
          <w:cantSplit/>
          <w:trHeight w:val="151"/>
        </w:trPr>
        <w:tc>
          <w:tcPr>
            <w:tcW w:w="6409"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17361A" w:rsidRPr="009A5E69" w:rsidRDefault="0017361A" w:rsidP="00675743">
            <w:pPr>
              <w:jc w:val="center"/>
              <w:rPr>
                <w:rFonts w:ascii="Franklin Gothic Medium" w:hAnsi="Franklin Gothic Medium" w:cs="Arial"/>
                <w:color w:val="FFFFFF"/>
                <w:sz w:val="26"/>
                <w:szCs w:val="26"/>
              </w:rPr>
            </w:pPr>
            <w:r w:rsidRPr="009A5E69">
              <w:rPr>
                <w:rFonts w:ascii="Franklin Gothic Medium" w:hAnsi="Franklin Gothic Medium"/>
                <w:color w:val="FFFFFF"/>
                <w:sz w:val="26"/>
                <w:szCs w:val="26"/>
              </w:rPr>
              <w:t>Single-Parent Households See Highest Unemployment Rates</w:t>
            </w:r>
          </w:p>
        </w:tc>
      </w:tr>
      <w:tr w:rsidR="0017361A" w:rsidRPr="008E1D0F" w:rsidTr="00675743">
        <w:trPr>
          <w:cantSplit/>
          <w:trHeight w:val="98"/>
        </w:trPr>
        <w:tc>
          <w:tcPr>
            <w:tcW w:w="6409"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17361A" w:rsidRPr="00982217" w:rsidRDefault="0017361A" w:rsidP="00675743">
            <w:pPr>
              <w:jc w:val="center"/>
              <w:rPr>
                <w:rFonts w:ascii="Franklin Gothic Book" w:hAnsi="Franklin Gothic Book" w:cs="Arial"/>
                <w:color w:val="0081C6"/>
                <w:sz w:val="28"/>
                <w:szCs w:val="28"/>
              </w:rPr>
            </w:pPr>
            <w:r w:rsidRPr="009A5E69">
              <w:rPr>
                <w:rFonts w:ascii="Franklin Gothic Book" w:hAnsi="Franklin Gothic Book" w:cs="Arial"/>
                <w:noProof/>
                <w:color w:val="0081C6"/>
                <w:sz w:val="28"/>
                <w:szCs w:val="28"/>
              </w:rPr>
              <w:drawing>
                <wp:inline distT="0" distB="0" distL="0" distR="0">
                  <wp:extent cx="3965575" cy="2143125"/>
                  <wp:effectExtent l="0" t="0" r="0" b="0"/>
                  <wp:docPr id="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17361A" w:rsidRPr="00675743" w:rsidRDefault="0017361A" w:rsidP="0017361A">
      <w:pPr>
        <w:pStyle w:val="Heading1"/>
        <w:rPr>
          <w:b w:val="0"/>
          <w:color w:val="006699"/>
          <w:sz w:val="28"/>
          <w:szCs w:val="28"/>
        </w:rPr>
      </w:pPr>
      <w:r w:rsidRPr="00675743">
        <w:rPr>
          <w:b w:val="0"/>
          <w:color w:val="006699"/>
          <w:sz w:val="28"/>
          <w:szCs w:val="28"/>
        </w:rPr>
        <w:t>Unemployment by Household Type</w:t>
      </w:r>
    </w:p>
    <w:p w:rsidR="0017361A" w:rsidRDefault="0017361A" w:rsidP="0017361A"/>
    <w:p w:rsidR="0017361A" w:rsidRDefault="0017361A" w:rsidP="0017361A">
      <w:pPr>
        <w:ind w:firstLine="216"/>
        <w:rPr>
          <w:noProof/>
        </w:rPr>
      </w:pPr>
      <w:r>
        <w:rPr>
          <w:noProof/>
        </w:rPr>
        <w:t>Married-couple households with</w:t>
      </w:r>
      <w:r w:rsidRPr="00AB364B">
        <w:rPr>
          <w:noProof/>
        </w:rPr>
        <w:t xml:space="preserve"> no children saw an increase in unemployment rates in first quarter 2012. All other household types though saw a decrease in unemployment during this time period</w:t>
      </w:r>
      <w:r>
        <w:rPr>
          <w:noProof/>
        </w:rPr>
        <w:t xml:space="preserve"> (see Figure 4)</w:t>
      </w:r>
      <w:r w:rsidRPr="00AB364B">
        <w:rPr>
          <w:noProof/>
        </w:rPr>
        <w:t>.</w:t>
      </w:r>
    </w:p>
    <w:p w:rsidR="0017361A" w:rsidRPr="009A5E69" w:rsidRDefault="0017361A" w:rsidP="0017361A">
      <w:pPr>
        <w:ind w:firstLine="216"/>
        <w:rPr>
          <w:noProof/>
        </w:rPr>
      </w:pPr>
    </w:p>
    <w:p w:rsidR="0017361A" w:rsidRPr="004B5F09" w:rsidRDefault="0017361A" w:rsidP="0017361A">
      <w:pPr>
        <w:pStyle w:val="ListBullet"/>
      </w:pPr>
      <w:r w:rsidRPr="004B5F09">
        <w:rPr>
          <w:b/>
          <w:color w:val="006699"/>
        </w:rPr>
        <w:t>Two-parent families without children saw a small increase in unemployment.</w:t>
      </w:r>
      <w:r w:rsidRPr="004B5F09">
        <w:rPr>
          <w:b/>
        </w:rPr>
        <w:t xml:space="preserve"> </w:t>
      </w:r>
      <w:r w:rsidRPr="004B5F09">
        <w:t xml:space="preserve">Unemployment among two-parent families without children rose from 5.9 percent in fourth quarter 2011 to 8.3 percent in </w:t>
      </w:r>
      <w:r>
        <w:t>first quarter 2012. However, t</w:t>
      </w:r>
      <w:r w:rsidRPr="004B5F09">
        <w:t>wo parent families without children still have a very low unemployment rate compared to single parent families in the District.</w:t>
      </w:r>
    </w:p>
    <w:p w:rsidR="0017361A" w:rsidRPr="004B5F09" w:rsidRDefault="0017361A" w:rsidP="0017361A"/>
    <w:p w:rsidR="0017361A" w:rsidRDefault="0017361A" w:rsidP="0017361A">
      <w:pPr>
        <w:pStyle w:val="ListBullet"/>
      </w:pPr>
      <w:r w:rsidRPr="004B5F09">
        <w:rPr>
          <w:b/>
          <w:color w:val="006699"/>
        </w:rPr>
        <w:t>Most households in the District saw a decrease in unemployment.</w:t>
      </w:r>
      <w:r w:rsidRPr="004B5F09">
        <w:t xml:space="preserve"> In the first quarter 2012,</w:t>
      </w:r>
      <w:r>
        <w:t xml:space="preserve"> the unemployment rate for married couples with </w:t>
      </w:r>
      <w:r w:rsidRPr="004B5F09">
        <w:t>children drop</w:t>
      </w:r>
      <w:r>
        <w:t>ped</w:t>
      </w:r>
      <w:r w:rsidRPr="004B5F09">
        <w:t xml:space="preserve"> from 6.3 percent to 4.1</w:t>
      </w:r>
      <w:r>
        <w:t xml:space="preserve"> percent.</w:t>
      </w:r>
      <w:r w:rsidRPr="004B5F09">
        <w:t xml:space="preserve"> Single</w:t>
      </w:r>
      <w:r>
        <w:t>-</w:t>
      </w:r>
      <w:r w:rsidRPr="004B5F09">
        <w:t>parent households also saw a decrease</w:t>
      </w:r>
      <w:r>
        <w:t xml:space="preserve"> in unemployment. </w:t>
      </w:r>
      <w:r w:rsidRPr="004B5F09">
        <w:t>For single-parent households without children, unemployment dropped from 10.6 percent to 9.5 percent, and for single-parent households with children, unemployment saw a very small decrease from 23.1 percent to 22.5 percent.</w:t>
      </w:r>
    </w:p>
    <w:p w:rsidR="00675743" w:rsidRPr="00675743" w:rsidRDefault="00675743" w:rsidP="00675743"/>
    <w:p w:rsidR="0017361A" w:rsidRDefault="0017361A" w:rsidP="0017361A"/>
    <w:p w:rsidR="0017361A" w:rsidRPr="00675743" w:rsidRDefault="0017361A" w:rsidP="0017361A">
      <w:pPr>
        <w:pStyle w:val="Heading1"/>
        <w:rPr>
          <w:b w:val="0"/>
          <w:color w:val="006699"/>
          <w:sz w:val="28"/>
          <w:szCs w:val="28"/>
        </w:rPr>
      </w:pPr>
      <w:r w:rsidRPr="00675743">
        <w:rPr>
          <w:b w:val="0"/>
          <w:color w:val="006699"/>
          <w:sz w:val="28"/>
          <w:szCs w:val="28"/>
        </w:rPr>
        <w:t>Unemployment by Occupation</w:t>
      </w:r>
    </w:p>
    <w:p w:rsidR="0017361A" w:rsidRPr="0022378B" w:rsidRDefault="0017361A" w:rsidP="0017361A"/>
    <w:p w:rsidR="0017361A" w:rsidRDefault="0017361A" w:rsidP="0017361A">
      <w:pPr>
        <w:tabs>
          <w:tab w:val="left" w:pos="216"/>
        </w:tabs>
        <w:ind w:firstLine="216"/>
      </w:pPr>
      <w:r>
        <w:t>In the first quarter of 2012, unemployment fell among</w:t>
      </w:r>
      <w:r w:rsidRPr="004B5F09">
        <w:t xml:space="preserve"> high- and medium-wage workers</w:t>
      </w:r>
      <w:r>
        <w:t xml:space="preserve">, </w:t>
      </w:r>
      <w:r w:rsidRPr="004B5F09">
        <w:t>while low-wage workers continue to see high and rising unemployment rates</w:t>
      </w:r>
      <w:r>
        <w:t xml:space="preserve"> (see Figure 5)</w:t>
      </w:r>
      <w:r w:rsidRPr="004B5F09">
        <w:t>.</w:t>
      </w:r>
      <w:r>
        <w:rPr>
          <w:rStyle w:val="EndnoteReference"/>
        </w:rPr>
        <w:endnoteReference w:id="4"/>
      </w:r>
    </w:p>
    <w:p w:rsidR="0017361A" w:rsidRDefault="0017361A" w:rsidP="0017361A">
      <w:pPr>
        <w:tabs>
          <w:tab w:val="left" w:pos="216"/>
        </w:tabs>
        <w:ind w:firstLine="216"/>
      </w:pPr>
    </w:p>
    <w:tbl>
      <w:tblPr>
        <w:tblpPr w:leftFromText="187" w:rightFromText="187" w:topFromText="130" w:bottomFromText="130" w:vertAnchor="page" w:horzAnchor="page" w:tblpX="5616" w:tblpY="5551"/>
        <w:tblOverlap w:val="never"/>
        <w:tblW w:w="5659" w:type="dxa"/>
        <w:tblBorders>
          <w:insideH w:val="single" w:sz="4" w:space="0" w:color="auto"/>
        </w:tblBorders>
        <w:tblLayout w:type="fixed"/>
        <w:tblLook w:val="0000"/>
      </w:tblPr>
      <w:tblGrid>
        <w:gridCol w:w="5659"/>
      </w:tblGrid>
      <w:tr w:rsidR="0017361A" w:rsidRPr="001E6D5D" w:rsidTr="00675743">
        <w:trPr>
          <w:cantSplit/>
          <w:trHeight w:val="204"/>
        </w:trPr>
        <w:tc>
          <w:tcPr>
            <w:tcW w:w="5659"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17361A" w:rsidRPr="008D666F" w:rsidRDefault="0017361A" w:rsidP="00675743">
            <w:pPr>
              <w:jc w:val="center"/>
              <w:rPr>
                <w:rFonts w:ascii="Franklin Gothic Book" w:hAnsi="Franklin Gothic Book" w:cs="Arial"/>
                <w:color w:val="FFFFFF"/>
              </w:rPr>
            </w:pPr>
            <w:r>
              <w:rPr>
                <w:rFonts w:ascii="Franklin Gothic Book" w:hAnsi="Franklin Gothic Book" w:cs="Arial"/>
                <w:color w:val="FFFFFF"/>
              </w:rPr>
              <w:t>Figure 5</w:t>
            </w:r>
          </w:p>
        </w:tc>
      </w:tr>
      <w:tr w:rsidR="0017361A" w:rsidRPr="008E1D0F" w:rsidTr="00675743">
        <w:trPr>
          <w:cantSplit/>
          <w:trHeight w:val="154"/>
        </w:trPr>
        <w:tc>
          <w:tcPr>
            <w:tcW w:w="5659"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17361A" w:rsidRPr="009A5E69" w:rsidRDefault="0017361A" w:rsidP="00675743">
            <w:pPr>
              <w:shd w:val="clear" w:color="auto" w:fill="0768A9"/>
              <w:jc w:val="center"/>
              <w:rPr>
                <w:rFonts w:ascii="Franklin Gothic Medium" w:hAnsi="Franklin Gothic Medium"/>
                <w:color w:val="FFFFFF"/>
                <w:sz w:val="26"/>
                <w:szCs w:val="26"/>
              </w:rPr>
            </w:pPr>
            <w:r w:rsidRPr="009A5E69">
              <w:rPr>
                <w:rFonts w:ascii="Franklin Gothic Medium" w:hAnsi="Franklin Gothic Medium"/>
                <w:color w:val="FFFFFF"/>
                <w:sz w:val="26"/>
                <w:szCs w:val="26"/>
              </w:rPr>
              <w:t>Low-wage workers Have Highest Unemployment Rates</w:t>
            </w:r>
          </w:p>
        </w:tc>
      </w:tr>
      <w:tr w:rsidR="0017361A" w:rsidRPr="008E1D0F" w:rsidTr="00675743">
        <w:trPr>
          <w:cantSplit/>
          <w:trHeight w:val="100"/>
        </w:trPr>
        <w:tc>
          <w:tcPr>
            <w:tcW w:w="5659"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17361A" w:rsidRPr="00982217" w:rsidRDefault="0017361A" w:rsidP="00675743">
            <w:pPr>
              <w:jc w:val="center"/>
              <w:rPr>
                <w:rFonts w:ascii="Franklin Gothic Book" w:hAnsi="Franklin Gothic Book" w:cs="Arial"/>
                <w:color w:val="0081C6"/>
                <w:sz w:val="28"/>
                <w:szCs w:val="28"/>
              </w:rPr>
            </w:pPr>
            <w:r w:rsidRPr="009A5E69">
              <w:rPr>
                <w:rFonts w:ascii="Franklin Gothic Book" w:hAnsi="Franklin Gothic Book" w:cs="Arial"/>
                <w:noProof/>
                <w:color w:val="0081C6"/>
                <w:sz w:val="28"/>
                <w:szCs w:val="28"/>
              </w:rPr>
              <w:drawing>
                <wp:inline distT="0" distB="0" distL="0" distR="0">
                  <wp:extent cx="3476625" cy="1895475"/>
                  <wp:effectExtent l="0" t="0" r="0" b="0"/>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17361A" w:rsidRPr="004B5F09" w:rsidRDefault="0017361A" w:rsidP="0017361A">
      <w:pPr>
        <w:pStyle w:val="ListBullet"/>
      </w:pPr>
      <w:r w:rsidRPr="00C74A32">
        <w:rPr>
          <w:b/>
          <w:color w:val="006699"/>
        </w:rPr>
        <w:t>Unemployment among low-wage workers has increased</w:t>
      </w:r>
      <w:r w:rsidRPr="00C74A32">
        <w:t>.  The unemployment rate for low-wage workers increased from 17.1 percent in fourth quarter 2011 to 18.2 percent in first quarter 2012. Low-wage workers continue to hold the highest unemployment rate by wage</w:t>
      </w:r>
      <w:r>
        <w:t>.</w:t>
      </w:r>
    </w:p>
    <w:p w:rsidR="0017361A" w:rsidRPr="004B5F09" w:rsidRDefault="0017361A" w:rsidP="0017361A"/>
    <w:p w:rsidR="0017361A" w:rsidRPr="004B5F09" w:rsidRDefault="0017361A" w:rsidP="0017361A">
      <w:pPr>
        <w:pStyle w:val="ListBullet"/>
        <w:widowControl/>
      </w:pPr>
      <w:r w:rsidRPr="004B5F09">
        <w:rPr>
          <w:b/>
          <w:color w:val="006699"/>
        </w:rPr>
        <w:t>High-wage workers saw a decrease in unemployment last quarter.</w:t>
      </w:r>
      <w:r w:rsidRPr="004B5F09">
        <w:t xml:space="preserve">  Unemployment for </w:t>
      </w:r>
    </w:p>
    <w:p w:rsidR="0017361A" w:rsidRPr="00BA32AD" w:rsidRDefault="0017361A" w:rsidP="0017361A">
      <w:pPr>
        <w:pStyle w:val="ListBullet"/>
        <w:widowControl/>
        <w:numPr>
          <w:ilvl w:val="0"/>
          <w:numId w:val="0"/>
        </w:numPr>
        <w:ind w:left="432"/>
      </w:pPr>
      <w:proofErr w:type="gramStart"/>
      <w:r>
        <w:t>high-</w:t>
      </w:r>
      <w:r w:rsidRPr="004B5F09">
        <w:t>wage</w:t>
      </w:r>
      <w:proofErr w:type="gramEnd"/>
      <w:r w:rsidRPr="004B5F09">
        <w:t xml:space="preserve"> workers fell from 3.8 percent to 1.5 percent during the first quarter of 2012. The unemployment rate for this group is now l</w:t>
      </w:r>
      <w:r>
        <w:t>ower than pre-recession levels.</w:t>
      </w:r>
    </w:p>
    <w:p w:rsidR="0017361A" w:rsidRDefault="0017361A" w:rsidP="0017361A">
      <w:pPr>
        <w:tabs>
          <w:tab w:val="left" w:pos="216"/>
        </w:tabs>
      </w:pPr>
    </w:p>
    <w:p w:rsidR="0017361A" w:rsidRPr="00C74A32" w:rsidRDefault="0017361A" w:rsidP="0017361A">
      <w:pPr>
        <w:pStyle w:val="ListBullet"/>
        <w:numPr>
          <w:ilvl w:val="0"/>
          <w:numId w:val="0"/>
        </w:numPr>
        <w:ind w:left="432"/>
      </w:pPr>
    </w:p>
    <w:p w:rsidR="0017361A" w:rsidRDefault="0017361A" w:rsidP="0017361A">
      <w:r>
        <w:br w:type="page"/>
      </w:r>
    </w:p>
    <w:p w:rsidR="0017361A" w:rsidRDefault="0017361A" w:rsidP="0017361A">
      <w:pPr>
        <w:pStyle w:val="Heading2"/>
        <w:rPr>
          <w:sz w:val="28"/>
          <w:szCs w:val="28"/>
        </w:rPr>
      </w:pPr>
      <w:r w:rsidRPr="00626277">
        <w:rPr>
          <w:sz w:val="28"/>
          <w:szCs w:val="28"/>
        </w:rPr>
        <w:t>Appendix: Unemployment Rate Comparisons</w:t>
      </w:r>
    </w:p>
    <w:p w:rsidR="0017361A" w:rsidRDefault="0017361A" w:rsidP="0017361A"/>
    <w:tbl>
      <w:tblPr>
        <w:tblStyle w:val="TableGrid"/>
        <w:tblW w:w="0" w:type="auto"/>
        <w:tblBorders>
          <w:top w:val="single" w:sz="4" w:space="0" w:color="0C61A4"/>
          <w:left w:val="single" w:sz="4" w:space="0" w:color="0C61A4"/>
          <w:bottom w:val="single" w:sz="4" w:space="0" w:color="0C61A4"/>
          <w:right w:val="single" w:sz="4" w:space="0" w:color="0C61A4"/>
          <w:insideH w:val="single" w:sz="4" w:space="0" w:color="0C61A4"/>
          <w:insideV w:val="single" w:sz="4" w:space="0" w:color="0C61A4"/>
        </w:tblBorders>
        <w:tblLook w:val="04A0"/>
      </w:tblPr>
      <w:tblGrid>
        <w:gridCol w:w="3438"/>
        <w:gridCol w:w="3150"/>
        <w:gridCol w:w="2988"/>
      </w:tblGrid>
      <w:tr w:rsidR="0017361A" w:rsidRPr="007513CB" w:rsidTr="007513CB">
        <w:tc>
          <w:tcPr>
            <w:tcW w:w="9576" w:type="dxa"/>
            <w:gridSpan w:val="3"/>
            <w:tcBorders>
              <w:bottom w:val="single" w:sz="4" w:space="0" w:color="0C61A4"/>
            </w:tcBorders>
            <w:shd w:val="clear" w:color="auto" w:fill="0081BE"/>
          </w:tcPr>
          <w:p w:rsidR="0017361A" w:rsidRPr="007513CB" w:rsidRDefault="0017361A" w:rsidP="00675743">
            <w:pPr>
              <w:jc w:val="center"/>
              <w:rPr>
                <w:rFonts w:ascii="Franklin Gothic Medium" w:hAnsi="Franklin Gothic Medium"/>
                <w:color w:val="FFFFFF" w:themeColor="background1"/>
              </w:rPr>
            </w:pPr>
            <w:r w:rsidRPr="007513CB">
              <w:rPr>
                <w:rFonts w:ascii="Franklin Gothic Medium" w:hAnsi="Franklin Gothic Medium"/>
                <w:color w:val="FFFFFF" w:themeColor="background1"/>
              </w:rPr>
              <w:t>By Education</w:t>
            </w:r>
          </w:p>
        </w:tc>
      </w:tr>
      <w:tr w:rsidR="0017361A" w:rsidRPr="007513CB" w:rsidTr="007513CB">
        <w:tc>
          <w:tcPr>
            <w:tcW w:w="3438" w:type="dxa"/>
            <w:shd w:val="clear" w:color="auto" w:fill="0C61A4"/>
          </w:tcPr>
          <w:p w:rsidR="0017361A" w:rsidRPr="007513CB" w:rsidRDefault="0017361A" w:rsidP="00675743">
            <w:pPr>
              <w:rPr>
                <w:rFonts w:ascii="Franklin Gothic Medium" w:hAnsi="Franklin Gothic Medium"/>
                <w:color w:val="FFFFFF" w:themeColor="background1"/>
                <w:sz w:val="22"/>
                <w:szCs w:val="22"/>
              </w:rPr>
            </w:pPr>
          </w:p>
        </w:tc>
        <w:tc>
          <w:tcPr>
            <w:tcW w:w="3150" w:type="dxa"/>
            <w:shd w:val="clear" w:color="auto" w:fill="0C61A4"/>
          </w:tcPr>
          <w:p w:rsidR="0017361A" w:rsidRPr="007513CB" w:rsidRDefault="0017361A" w:rsidP="00675743">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4</w:t>
            </w:r>
            <w:r w:rsidRPr="007513CB">
              <w:rPr>
                <w:rFonts w:ascii="Franklin Gothic Medium" w:hAnsi="Franklin Gothic Medium"/>
                <w:color w:val="FFFFFF" w:themeColor="background1"/>
                <w:sz w:val="22"/>
                <w:szCs w:val="22"/>
                <w:vertAlign w:val="superscript"/>
              </w:rPr>
              <w:t>th</w:t>
            </w:r>
            <w:r w:rsidRPr="007513CB">
              <w:rPr>
                <w:rFonts w:ascii="Franklin Gothic Medium" w:hAnsi="Franklin Gothic Medium"/>
                <w:color w:val="FFFFFF" w:themeColor="background1"/>
                <w:sz w:val="22"/>
                <w:szCs w:val="22"/>
              </w:rPr>
              <w:t xml:space="preserve"> Quarter 2011</w:t>
            </w:r>
          </w:p>
        </w:tc>
        <w:tc>
          <w:tcPr>
            <w:tcW w:w="2988" w:type="dxa"/>
            <w:shd w:val="clear" w:color="auto" w:fill="0C61A4"/>
          </w:tcPr>
          <w:p w:rsidR="0017361A" w:rsidRPr="007513CB" w:rsidRDefault="0017361A" w:rsidP="00675743">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1</w:t>
            </w:r>
            <w:r w:rsidRPr="007513CB">
              <w:rPr>
                <w:rFonts w:ascii="Franklin Gothic Medium" w:hAnsi="Franklin Gothic Medium"/>
                <w:color w:val="FFFFFF" w:themeColor="background1"/>
                <w:sz w:val="22"/>
                <w:szCs w:val="22"/>
                <w:vertAlign w:val="superscript"/>
              </w:rPr>
              <w:t>st</w:t>
            </w:r>
            <w:r w:rsidRPr="007513CB">
              <w:rPr>
                <w:rFonts w:ascii="Franklin Gothic Medium" w:hAnsi="Franklin Gothic Medium"/>
                <w:color w:val="FFFFFF" w:themeColor="background1"/>
                <w:sz w:val="22"/>
                <w:szCs w:val="22"/>
              </w:rPr>
              <w:t xml:space="preserve"> Quarter 2012</w:t>
            </w:r>
          </w:p>
        </w:tc>
      </w:tr>
      <w:tr w:rsidR="0017361A" w:rsidTr="007513CB">
        <w:tc>
          <w:tcPr>
            <w:tcW w:w="3438" w:type="dxa"/>
          </w:tcPr>
          <w:p w:rsidR="0017361A" w:rsidRPr="00675743" w:rsidRDefault="0017361A" w:rsidP="00675743">
            <w:pPr>
              <w:rPr>
                <w:rFonts w:ascii="Franklin Gothic Book" w:hAnsi="Franklin Gothic Book"/>
                <w:sz w:val="20"/>
                <w:szCs w:val="20"/>
              </w:rPr>
            </w:pPr>
            <w:r w:rsidRPr="00675743">
              <w:rPr>
                <w:rFonts w:ascii="Franklin Gothic Book" w:hAnsi="Franklin Gothic Book"/>
                <w:sz w:val="20"/>
                <w:szCs w:val="20"/>
              </w:rPr>
              <w:t>Less than a high school diploma</w:t>
            </w:r>
          </w:p>
        </w:tc>
        <w:tc>
          <w:tcPr>
            <w:tcW w:w="3150" w:type="dxa"/>
          </w:tcPr>
          <w:p w:rsidR="0017361A" w:rsidRPr="00675743" w:rsidRDefault="0017361A" w:rsidP="00675743">
            <w:pPr>
              <w:ind w:right="1152"/>
              <w:jc w:val="right"/>
              <w:rPr>
                <w:rFonts w:ascii="Franklin Gothic Book" w:hAnsi="Franklin Gothic Book"/>
                <w:sz w:val="20"/>
                <w:szCs w:val="20"/>
              </w:rPr>
            </w:pPr>
            <w:r w:rsidRPr="00675743">
              <w:rPr>
                <w:rFonts w:ascii="Franklin Gothic Book" w:hAnsi="Franklin Gothic Book"/>
                <w:sz w:val="20"/>
                <w:szCs w:val="20"/>
              </w:rPr>
              <w:t>24.9%</w:t>
            </w:r>
          </w:p>
        </w:tc>
        <w:tc>
          <w:tcPr>
            <w:tcW w:w="2988" w:type="dxa"/>
          </w:tcPr>
          <w:p w:rsidR="0017361A" w:rsidRPr="00675743" w:rsidRDefault="0017361A" w:rsidP="00675743">
            <w:pPr>
              <w:ind w:right="1080"/>
              <w:jc w:val="right"/>
              <w:rPr>
                <w:rFonts w:ascii="Franklin Gothic Book" w:hAnsi="Franklin Gothic Book"/>
                <w:sz w:val="20"/>
                <w:szCs w:val="20"/>
              </w:rPr>
            </w:pPr>
            <w:r w:rsidRPr="00675743">
              <w:rPr>
                <w:rFonts w:ascii="Franklin Gothic Book" w:hAnsi="Franklin Gothic Book"/>
                <w:sz w:val="20"/>
                <w:szCs w:val="20"/>
              </w:rPr>
              <w:t>22.1%</w:t>
            </w:r>
          </w:p>
        </w:tc>
      </w:tr>
      <w:tr w:rsidR="0017361A" w:rsidTr="007513CB">
        <w:tc>
          <w:tcPr>
            <w:tcW w:w="3438" w:type="dxa"/>
          </w:tcPr>
          <w:p w:rsidR="0017361A" w:rsidRPr="00675743" w:rsidRDefault="0017361A" w:rsidP="00675743">
            <w:pPr>
              <w:rPr>
                <w:rFonts w:ascii="Franklin Gothic Book" w:hAnsi="Franklin Gothic Book"/>
                <w:sz w:val="20"/>
                <w:szCs w:val="20"/>
              </w:rPr>
            </w:pPr>
            <w:r w:rsidRPr="00675743">
              <w:rPr>
                <w:rFonts w:ascii="Franklin Gothic Book" w:hAnsi="Franklin Gothic Book"/>
                <w:sz w:val="20"/>
                <w:szCs w:val="20"/>
              </w:rPr>
              <w:t>High school graduates, no college</w:t>
            </w:r>
          </w:p>
        </w:tc>
        <w:tc>
          <w:tcPr>
            <w:tcW w:w="3150" w:type="dxa"/>
          </w:tcPr>
          <w:p w:rsidR="0017361A" w:rsidRPr="00675743" w:rsidRDefault="0017361A" w:rsidP="00675743">
            <w:pPr>
              <w:ind w:right="1152"/>
              <w:jc w:val="right"/>
              <w:rPr>
                <w:rFonts w:ascii="Franklin Gothic Book" w:hAnsi="Franklin Gothic Book"/>
                <w:sz w:val="20"/>
                <w:szCs w:val="20"/>
              </w:rPr>
            </w:pPr>
            <w:r w:rsidRPr="00675743">
              <w:rPr>
                <w:rFonts w:ascii="Franklin Gothic Book" w:hAnsi="Franklin Gothic Book"/>
                <w:sz w:val="20"/>
                <w:szCs w:val="20"/>
              </w:rPr>
              <w:t>25.3%</w:t>
            </w:r>
          </w:p>
        </w:tc>
        <w:tc>
          <w:tcPr>
            <w:tcW w:w="2988" w:type="dxa"/>
          </w:tcPr>
          <w:p w:rsidR="0017361A" w:rsidRPr="00675743" w:rsidRDefault="0017361A" w:rsidP="00675743">
            <w:pPr>
              <w:ind w:right="1080"/>
              <w:jc w:val="right"/>
              <w:rPr>
                <w:rFonts w:ascii="Franklin Gothic Book" w:hAnsi="Franklin Gothic Book"/>
                <w:sz w:val="20"/>
                <w:szCs w:val="20"/>
              </w:rPr>
            </w:pPr>
            <w:r w:rsidRPr="00675743">
              <w:rPr>
                <w:rFonts w:ascii="Franklin Gothic Book" w:hAnsi="Franklin Gothic Book"/>
                <w:sz w:val="20"/>
                <w:szCs w:val="20"/>
              </w:rPr>
              <w:t>19.8%</w:t>
            </w:r>
          </w:p>
        </w:tc>
      </w:tr>
      <w:tr w:rsidR="0017361A" w:rsidTr="007513CB">
        <w:tc>
          <w:tcPr>
            <w:tcW w:w="3438" w:type="dxa"/>
          </w:tcPr>
          <w:p w:rsidR="0017361A" w:rsidRPr="00675743" w:rsidRDefault="0017361A" w:rsidP="00675743">
            <w:pPr>
              <w:rPr>
                <w:rFonts w:ascii="Franklin Gothic Book" w:hAnsi="Franklin Gothic Book"/>
                <w:sz w:val="20"/>
                <w:szCs w:val="20"/>
              </w:rPr>
            </w:pPr>
            <w:r w:rsidRPr="00675743">
              <w:rPr>
                <w:rFonts w:ascii="Franklin Gothic Book" w:hAnsi="Franklin Gothic Book"/>
                <w:sz w:val="20"/>
                <w:szCs w:val="20"/>
              </w:rPr>
              <w:t>Bachelor’s degree or higher</w:t>
            </w:r>
          </w:p>
        </w:tc>
        <w:tc>
          <w:tcPr>
            <w:tcW w:w="3150" w:type="dxa"/>
          </w:tcPr>
          <w:p w:rsidR="0017361A" w:rsidRPr="00675743" w:rsidRDefault="0017361A" w:rsidP="00675743">
            <w:pPr>
              <w:ind w:right="1152"/>
              <w:jc w:val="right"/>
              <w:rPr>
                <w:rFonts w:ascii="Franklin Gothic Book" w:hAnsi="Franklin Gothic Book"/>
                <w:sz w:val="20"/>
                <w:szCs w:val="20"/>
              </w:rPr>
            </w:pPr>
            <w:r w:rsidRPr="00675743">
              <w:rPr>
                <w:rFonts w:ascii="Franklin Gothic Book" w:hAnsi="Franklin Gothic Book"/>
                <w:sz w:val="20"/>
                <w:szCs w:val="20"/>
              </w:rPr>
              <w:t>4.0%</w:t>
            </w:r>
          </w:p>
        </w:tc>
        <w:tc>
          <w:tcPr>
            <w:tcW w:w="2988" w:type="dxa"/>
          </w:tcPr>
          <w:p w:rsidR="0017361A" w:rsidRPr="00675743" w:rsidRDefault="0017361A" w:rsidP="00675743">
            <w:pPr>
              <w:ind w:right="1080"/>
              <w:jc w:val="right"/>
              <w:rPr>
                <w:rFonts w:ascii="Franklin Gothic Book" w:hAnsi="Franklin Gothic Book"/>
                <w:sz w:val="20"/>
                <w:szCs w:val="20"/>
              </w:rPr>
            </w:pPr>
            <w:r w:rsidRPr="00675743">
              <w:rPr>
                <w:rFonts w:ascii="Franklin Gothic Book" w:hAnsi="Franklin Gothic Book"/>
                <w:sz w:val="20"/>
                <w:szCs w:val="20"/>
              </w:rPr>
              <w:t>4.4%</w:t>
            </w:r>
          </w:p>
        </w:tc>
      </w:tr>
    </w:tbl>
    <w:p w:rsidR="0017361A" w:rsidRDefault="0017361A" w:rsidP="0017361A"/>
    <w:tbl>
      <w:tblPr>
        <w:tblStyle w:val="TableGrid"/>
        <w:tblW w:w="0" w:type="auto"/>
        <w:tblBorders>
          <w:top w:val="single" w:sz="4" w:space="0" w:color="0C61A4"/>
          <w:left w:val="single" w:sz="4" w:space="0" w:color="0C61A4"/>
          <w:bottom w:val="single" w:sz="4" w:space="0" w:color="0C61A4"/>
          <w:right w:val="single" w:sz="4" w:space="0" w:color="0C61A4"/>
          <w:insideH w:val="single" w:sz="4" w:space="0" w:color="0C61A4"/>
          <w:insideV w:val="single" w:sz="4" w:space="0" w:color="0C61A4"/>
        </w:tblBorders>
        <w:tblLook w:val="04A0"/>
      </w:tblPr>
      <w:tblGrid>
        <w:gridCol w:w="3438"/>
        <w:gridCol w:w="3150"/>
        <w:gridCol w:w="2988"/>
      </w:tblGrid>
      <w:tr w:rsidR="0017361A" w:rsidRPr="007513CB" w:rsidTr="007513CB">
        <w:tc>
          <w:tcPr>
            <w:tcW w:w="9576" w:type="dxa"/>
            <w:gridSpan w:val="3"/>
            <w:tcBorders>
              <w:bottom w:val="single" w:sz="4" w:space="0" w:color="0C61A4"/>
            </w:tcBorders>
            <w:shd w:val="clear" w:color="auto" w:fill="0081BE"/>
          </w:tcPr>
          <w:p w:rsidR="0017361A" w:rsidRPr="007513CB" w:rsidRDefault="0017361A" w:rsidP="007513CB">
            <w:pPr>
              <w:jc w:val="center"/>
              <w:rPr>
                <w:rFonts w:ascii="Franklin Gothic Medium" w:hAnsi="Franklin Gothic Medium"/>
                <w:color w:val="FFFFFF" w:themeColor="background1"/>
              </w:rPr>
            </w:pPr>
            <w:r w:rsidRPr="007513CB">
              <w:rPr>
                <w:rFonts w:ascii="Franklin Gothic Medium" w:hAnsi="Franklin Gothic Medium"/>
                <w:color w:val="FFFFFF" w:themeColor="background1"/>
              </w:rPr>
              <w:t>By Race/Ethnicity</w:t>
            </w:r>
          </w:p>
        </w:tc>
      </w:tr>
      <w:tr w:rsidR="0017361A" w:rsidRPr="007513CB" w:rsidTr="007513CB">
        <w:tc>
          <w:tcPr>
            <w:tcW w:w="343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p>
        </w:tc>
        <w:tc>
          <w:tcPr>
            <w:tcW w:w="3150"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4</w:t>
            </w:r>
            <w:r w:rsidRPr="007513CB">
              <w:rPr>
                <w:rFonts w:ascii="Franklin Gothic Medium" w:hAnsi="Franklin Gothic Medium"/>
                <w:color w:val="FFFFFF" w:themeColor="background1"/>
                <w:sz w:val="22"/>
                <w:szCs w:val="22"/>
                <w:vertAlign w:val="superscript"/>
              </w:rPr>
              <w:t>th</w:t>
            </w:r>
            <w:r w:rsidRPr="007513CB">
              <w:rPr>
                <w:rFonts w:ascii="Franklin Gothic Medium" w:hAnsi="Franklin Gothic Medium"/>
                <w:color w:val="FFFFFF" w:themeColor="background1"/>
                <w:sz w:val="22"/>
                <w:szCs w:val="22"/>
              </w:rPr>
              <w:t xml:space="preserve"> Quarter 2011</w:t>
            </w:r>
          </w:p>
        </w:tc>
        <w:tc>
          <w:tcPr>
            <w:tcW w:w="298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1</w:t>
            </w:r>
            <w:r w:rsidRPr="007513CB">
              <w:rPr>
                <w:rFonts w:ascii="Franklin Gothic Medium" w:hAnsi="Franklin Gothic Medium"/>
                <w:color w:val="FFFFFF" w:themeColor="background1"/>
                <w:sz w:val="22"/>
                <w:szCs w:val="22"/>
                <w:vertAlign w:val="superscript"/>
              </w:rPr>
              <w:t>st</w:t>
            </w:r>
            <w:r w:rsidRPr="007513CB">
              <w:rPr>
                <w:rFonts w:ascii="Franklin Gothic Medium" w:hAnsi="Franklin Gothic Medium"/>
                <w:color w:val="FFFFFF" w:themeColor="background1"/>
                <w:sz w:val="22"/>
                <w:szCs w:val="22"/>
              </w:rPr>
              <w:t xml:space="preserve"> Quarter 2012</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White, non-Hispanic</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3.0%</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2.9%</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Black, non-Hispanic</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20.4%</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18.9%</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Hispanic</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8.6%</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5.6%</w:t>
            </w:r>
          </w:p>
        </w:tc>
      </w:tr>
    </w:tbl>
    <w:p w:rsidR="0017361A" w:rsidRDefault="0017361A" w:rsidP="0017361A"/>
    <w:tbl>
      <w:tblPr>
        <w:tblStyle w:val="TableGrid"/>
        <w:tblW w:w="0" w:type="auto"/>
        <w:tblBorders>
          <w:top w:val="single" w:sz="4" w:space="0" w:color="0C61A4"/>
          <w:left w:val="single" w:sz="4" w:space="0" w:color="0C61A4"/>
          <w:bottom w:val="single" w:sz="4" w:space="0" w:color="0C61A4"/>
          <w:right w:val="single" w:sz="4" w:space="0" w:color="0C61A4"/>
          <w:insideH w:val="single" w:sz="4" w:space="0" w:color="0C61A4"/>
          <w:insideV w:val="single" w:sz="4" w:space="0" w:color="0C61A4"/>
        </w:tblBorders>
        <w:tblLook w:val="04A0"/>
      </w:tblPr>
      <w:tblGrid>
        <w:gridCol w:w="3438"/>
        <w:gridCol w:w="3150"/>
        <w:gridCol w:w="2988"/>
      </w:tblGrid>
      <w:tr w:rsidR="0017361A" w:rsidRPr="007513CB" w:rsidTr="007513CB">
        <w:tc>
          <w:tcPr>
            <w:tcW w:w="9576" w:type="dxa"/>
            <w:gridSpan w:val="3"/>
            <w:tcBorders>
              <w:bottom w:val="single" w:sz="4" w:space="0" w:color="0C61A4"/>
            </w:tcBorders>
            <w:shd w:val="clear" w:color="auto" w:fill="0081BE"/>
          </w:tcPr>
          <w:p w:rsidR="0017361A" w:rsidRPr="007513CB" w:rsidRDefault="0017361A" w:rsidP="00675743">
            <w:pPr>
              <w:jc w:val="center"/>
              <w:rPr>
                <w:rFonts w:ascii="Franklin Gothic Medium" w:hAnsi="Franklin Gothic Medium"/>
                <w:color w:val="FFFFFF" w:themeColor="background1"/>
              </w:rPr>
            </w:pPr>
            <w:r w:rsidRPr="007513CB">
              <w:rPr>
                <w:rFonts w:ascii="Franklin Gothic Medium" w:hAnsi="Franklin Gothic Medium"/>
                <w:color w:val="FFFFFF" w:themeColor="background1"/>
              </w:rPr>
              <w:t>By Age</w:t>
            </w:r>
          </w:p>
        </w:tc>
      </w:tr>
      <w:tr w:rsidR="0017361A" w:rsidRPr="007513CB" w:rsidTr="007513CB">
        <w:tc>
          <w:tcPr>
            <w:tcW w:w="343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p>
        </w:tc>
        <w:tc>
          <w:tcPr>
            <w:tcW w:w="3150"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4</w:t>
            </w:r>
            <w:r w:rsidRPr="007513CB">
              <w:rPr>
                <w:rFonts w:ascii="Franklin Gothic Medium" w:hAnsi="Franklin Gothic Medium"/>
                <w:color w:val="FFFFFF" w:themeColor="background1"/>
                <w:sz w:val="22"/>
                <w:szCs w:val="22"/>
                <w:vertAlign w:val="superscript"/>
              </w:rPr>
              <w:t>th</w:t>
            </w:r>
            <w:r w:rsidRPr="007513CB">
              <w:rPr>
                <w:rFonts w:ascii="Franklin Gothic Medium" w:hAnsi="Franklin Gothic Medium"/>
                <w:color w:val="FFFFFF" w:themeColor="background1"/>
                <w:sz w:val="22"/>
                <w:szCs w:val="22"/>
              </w:rPr>
              <w:t xml:space="preserve"> Quarter 2011</w:t>
            </w:r>
          </w:p>
        </w:tc>
        <w:tc>
          <w:tcPr>
            <w:tcW w:w="298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1</w:t>
            </w:r>
            <w:r w:rsidRPr="007513CB">
              <w:rPr>
                <w:rFonts w:ascii="Franklin Gothic Medium" w:hAnsi="Franklin Gothic Medium"/>
                <w:color w:val="FFFFFF" w:themeColor="background1"/>
                <w:sz w:val="22"/>
                <w:szCs w:val="22"/>
                <w:vertAlign w:val="superscript"/>
              </w:rPr>
              <w:t>st</w:t>
            </w:r>
            <w:r w:rsidRPr="007513CB">
              <w:rPr>
                <w:rFonts w:ascii="Franklin Gothic Medium" w:hAnsi="Franklin Gothic Medium"/>
                <w:color w:val="FFFFFF" w:themeColor="background1"/>
                <w:sz w:val="22"/>
                <w:szCs w:val="22"/>
              </w:rPr>
              <w:t xml:space="preserve"> Quarter 2012</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16-24</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16.8%</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20.5%</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25-44</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8.5%</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7.1%</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45-64</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10.7%</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9.7%</w:t>
            </w:r>
          </w:p>
        </w:tc>
      </w:tr>
    </w:tbl>
    <w:p w:rsidR="0017361A" w:rsidRDefault="0017361A" w:rsidP="0017361A"/>
    <w:tbl>
      <w:tblPr>
        <w:tblStyle w:val="TableGrid"/>
        <w:tblW w:w="0" w:type="auto"/>
        <w:tblBorders>
          <w:top w:val="single" w:sz="4" w:space="0" w:color="0C61A4"/>
          <w:left w:val="single" w:sz="4" w:space="0" w:color="0C61A4"/>
          <w:bottom w:val="single" w:sz="4" w:space="0" w:color="0C61A4"/>
          <w:right w:val="single" w:sz="4" w:space="0" w:color="0C61A4"/>
          <w:insideH w:val="single" w:sz="4" w:space="0" w:color="0C61A4"/>
          <w:insideV w:val="single" w:sz="4" w:space="0" w:color="0C61A4"/>
        </w:tblBorders>
        <w:tblLook w:val="04A0"/>
      </w:tblPr>
      <w:tblGrid>
        <w:gridCol w:w="3438"/>
        <w:gridCol w:w="3150"/>
        <w:gridCol w:w="2988"/>
      </w:tblGrid>
      <w:tr w:rsidR="0017361A" w:rsidTr="007513CB">
        <w:tc>
          <w:tcPr>
            <w:tcW w:w="9576" w:type="dxa"/>
            <w:gridSpan w:val="3"/>
            <w:tcBorders>
              <w:bottom w:val="single" w:sz="4" w:space="0" w:color="0C61A4"/>
            </w:tcBorders>
            <w:shd w:val="clear" w:color="auto" w:fill="0081BE"/>
          </w:tcPr>
          <w:p w:rsidR="0017361A" w:rsidRPr="007513CB" w:rsidRDefault="0017361A" w:rsidP="00675743">
            <w:pPr>
              <w:jc w:val="center"/>
              <w:rPr>
                <w:rFonts w:ascii="Franklin Gothic Medium" w:hAnsi="Franklin Gothic Medium"/>
                <w:color w:val="FFFFFF" w:themeColor="background1"/>
              </w:rPr>
            </w:pPr>
            <w:r w:rsidRPr="007513CB">
              <w:rPr>
                <w:rFonts w:ascii="Franklin Gothic Medium" w:hAnsi="Franklin Gothic Medium"/>
                <w:color w:val="FFFFFF" w:themeColor="background1"/>
              </w:rPr>
              <w:t>By Household</w:t>
            </w:r>
          </w:p>
        </w:tc>
      </w:tr>
      <w:tr w:rsidR="0017361A" w:rsidRPr="007513CB" w:rsidTr="007513CB">
        <w:tc>
          <w:tcPr>
            <w:tcW w:w="343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p>
        </w:tc>
        <w:tc>
          <w:tcPr>
            <w:tcW w:w="3150"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4</w:t>
            </w:r>
            <w:r w:rsidRPr="007513CB">
              <w:rPr>
                <w:rFonts w:ascii="Franklin Gothic Medium" w:hAnsi="Franklin Gothic Medium"/>
                <w:color w:val="FFFFFF" w:themeColor="background1"/>
                <w:sz w:val="22"/>
                <w:szCs w:val="22"/>
                <w:vertAlign w:val="superscript"/>
              </w:rPr>
              <w:t>th</w:t>
            </w:r>
            <w:r w:rsidRPr="007513CB">
              <w:rPr>
                <w:rFonts w:ascii="Franklin Gothic Medium" w:hAnsi="Franklin Gothic Medium"/>
                <w:color w:val="FFFFFF" w:themeColor="background1"/>
                <w:sz w:val="22"/>
                <w:szCs w:val="22"/>
              </w:rPr>
              <w:t xml:space="preserve"> Quarter 2011</w:t>
            </w:r>
          </w:p>
        </w:tc>
        <w:tc>
          <w:tcPr>
            <w:tcW w:w="298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1</w:t>
            </w:r>
            <w:r w:rsidRPr="007513CB">
              <w:rPr>
                <w:rFonts w:ascii="Franklin Gothic Medium" w:hAnsi="Franklin Gothic Medium"/>
                <w:color w:val="FFFFFF" w:themeColor="background1"/>
                <w:sz w:val="22"/>
                <w:szCs w:val="22"/>
                <w:vertAlign w:val="superscript"/>
              </w:rPr>
              <w:t>st</w:t>
            </w:r>
            <w:r w:rsidRPr="007513CB">
              <w:rPr>
                <w:rFonts w:ascii="Franklin Gothic Medium" w:hAnsi="Franklin Gothic Medium"/>
                <w:color w:val="FFFFFF" w:themeColor="background1"/>
                <w:sz w:val="22"/>
                <w:szCs w:val="22"/>
              </w:rPr>
              <w:t xml:space="preserve"> Quarter 2012</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Two Parents without Children</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5.9%</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8.3%</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Two Parents with Children</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6.3%</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4.1%</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One Parent without Children</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10.6%</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9.5%</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One Parent with Children</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23.1%</w:t>
            </w:r>
          </w:p>
        </w:tc>
        <w:tc>
          <w:tcPr>
            <w:tcW w:w="2988" w:type="dxa"/>
          </w:tcPr>
          <w:p w:rsidR="0017361A" w:rsidRPr="007513CB" w:rsidRDefault="0017361A" w:rsidP="007513CB">
            <w:pPr>
              <w:ind w:right="1080"/>
              <w:jc w:val="right"/>
              <w:rPr>
                <w:rFonts w:ascii="Franklin Gothic Book" w:hAnsi="Franklin Gothic Book"/>
                <w:sz w:val="20"/>
                <w:szCs w:val="20"/>
              </w:rPr>
            </w:pPr>
            <w:r w:rsidRPr="007513CB">
              <w:rPr>
                <w:rFonts w:ascii="Franklin Gothic Book" w:hAnsi="Franklin Gothic Book"/>
                <w:sz w:val="20"/>
                <w:szCs w:val="20"/>
              </w:rPr>
              <w:t>22.5%</w:t>
            </w:r>
          </w:p>
        </w:tc>
      </w:tr>
    </w:tbl>
    <w:p w:rsidR="0017361A" w:rsidRDefault="0017361A" w:rsidP="0017361A"/>
    <w:tbl>
      <w:tblPr>
        <w:tblStyle w:val="TableGrid"/>
        <w:tblW w:w="0" w:type="auto"/>
        <w:tblBorders>
          <w:top w:val="single" w:sz="4" w:space="0" w:color="0C61A4"/>
          <w:left w:val="single" w:sz="4" w:space="0" w:color="0C61A4"/>
          <w:bottom w:val="single" w:sz="4" w:space="0" w:color="0C61A4"/>
          <w:right w:val="single" w:sz="4" w:space="0" w:color="0C61A4"/>
          <w:insideH w:val="single" w:sz="4" w:space="0" w:color="0C61A4"/>
          <w:insideV w:val="single" w:sz="4" w:space="0" w:color="0C61A4"/>
        </w:tblBorders>
        <w:tblLook w:val="04A0"/>
      </w:tblPr>
      <w:tblGrid>
        <w:gridCol w:w="3438"/>
        <w:gridCol w:w="3150"/>
        <w:gridCol w:w="2988"/>
      </w:tblGrid>
      <w:tr w:rsidR="0017361A" w:rsidTr="007513CB">
        <w:tc>
          <w:tcPr>
            <w:tcW w:w="9576" w:type="dxa"/>
            <w:gridSpan w:val="3"/>
            <w:tcBorders>
              <w:bottom w:val="single" w:sz="4" w:space="0" w:color="0C61A4"/>
            </w:tcBorders>
            <w:shd w:val="clear" w:color="auto" w:fill="0081BE"/>
          </w:tcPr>
          <w:p w:rsidR="0017361A" w:rsidRPr="007513CB" w:rsidRDefault="0017361A" w:rsidP="007513CB">
            <w:pPr>
              <w:jc w:val="center"/>
              <w:rPr>
                <w:rFonts w:ascii="Franklin Gothic Medium" w:hAnsi="Franklin Gothic Medium"/>
                <w:color w:val="FFFFFF" w:themeColor="background1"/>
              </w:rPr>
            </w:pPr>
            <w:r w:rsidRPr="007513CB">
              <w:rPr>
                <w:rFonts w:ascii="Franklin Gothic Medium" w:hAnsi="Franklin Gothic Medium"/>
                <w:color w:val="FFFFFF" w:themeColor="background1"/>
              </w:rPr>
              <w:t>By Wage</w:t>
            </w:r>
          </w:p>
        </w:tc>
      </w:tr>
      <w:tr w:rsidR="0017361A" w:rsidRPr="007513CB" w:rsidTr="007513CB">
        <w:tc>
          <w:tcPr>
            <w:tcW w:w="3438" w:type="dxa"/>
            <w:shd w:val="clear" w:color="auto" w:fill="0C61A4"/>
          </w:tcPr>
          <w:p w:rsidR="0017361A" w:rsidRPr="007513CB" w:rsidRDefault="0017361A" w:rsidP="007513CB">
            <w:pPr>
              <w:jc w:val="center"/>
              <w:rPr>
                <w:sz w:val="22"/>
                <w:szCs w:val="22"/>
              </w:rPr>
            </w:pPr>
          </w:p>
        </w:tc>
        <w:tc>
          <w:tcPr>
            <w:tcW w:w="3150"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4</w:t>
            </w:r>
            <w:r w:rsidRPr="007513CB">
              <w:rPr>
                <w:rFonts w:ascii="Franklin Gothic Medium" w:hAnsi="Franklin Gothic Medium"/>
                <w:color w:val="FFFFFF" w:themeColor="background1"/>
                <w:sz w:val="22"/>
                <w:szCs w:val="22"/>
                <w:vertAlign w:val="superscript"/>
              </w:rPr>
              <w:t>th</w:t>
            </w:r>
            <w:r w:rsidRPr="007513CB">
              <w:rPr>
                <w:rFonts w:ascii="Franklin Gothic Medium" w:hAnsi="Franklin Gothic Medium"/>
                <w:color w:val="FFFFFF" w:themeColor="background1"/>
                <w:sz w:val="22"/>
                <w:szCs w:val="22"/>
              </w:rPr>
              <w:t xml:space="preserve"> Quarter 2011</w:t>
            </w:r>
          </w:p>
        </w:tc>
        <w:tc>
          <w:tcPr>
            <w:tcW w:w="2988" w:type="dxa"/>
            <w:shd w:val="clear" w:color="auto" w:fill="0C61A4"/>
          </w:tcPr>
          <w:p w:rsidR="0017361A" w:rsidRPr="007513CB" w:rsidRDefault="0017361A" w:rsidP="007513CB">
            <w:pPr>
              <w:jc w:val="center"/>
              <w:rPr>
                <w:rFonts w:ascii="Franklin Gothic Medium" w:hAnsi="Franklin Gothic Medium"/>
                <w:color w:val="FFFFFF" w:themeColor="background1"/>
                <w:sz w:val="22"/>
                <w:szCs w:val="22"/>
              </w:rPr>
            </w:pPr>
            <w:r w:rsidRPr="007513CB">
              <w:rPr>
                <w:rFonts w:ascii="Franklin Gothic Medium" w:hAnsi="Franklin Gothic Medium"/>
                <w:color w:val="FFFFFF" w:themeColor="background1"/>
                <w:sz w:val="22"/>
                <w:szCs w:val="22"/>
              </w:rPr>
              <w:t>1</w:t>
            </w:r>
            <w:r w:rsidRPr="007513CB">
              <w:rPr>
                <w:rFonts w:ascii="Franklin Gothic Medium" w:hAnsi="Franklin Gothic Medium"/>
                <w:color w:val="FFFFFF" w:themeColor="background1"/>
                <w:sz w:val="22"/>
                <w:szCs w:val="22"/>
                <w:vertAlign w:val="superscript"/>
              </w:rPr>
              <w:t>st</w:t>
            </w:r>
            <w:r w:rsidRPr="007513CB">
              <w:rPr>
                <w:rFonts w:ascii="Franklin Gothic Medium" w:hAnsi="Franklin Gothic Medium"/>
                <w:color w:val="FFFFFF" w:themeColor="background1"/>
                <w:sz w:val="22"/>
                <w:szCs w:val="22"/>
              </w:rPr>
              <w:t xml:space="preserve"> Quarter 2012</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High-wage</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3.8%</w:t>
            </w:r>
          </w:p>
        </w:tc>
        <w:tc>
          <w:tcPr>
            <w:tcW w:w="2988"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1.5%</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Medium-wage</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9.7%</w:t>
            </w:r>
          </w:p>
        </w:tc>
        <w:tc>
          <w:tcPr>
            <w:tcW w:w="2988"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9.1%</w:t>
            </w:r>
          </w:p>
        </w:tc>
      </w:tr>
      <w:tr w:rsidR="0017361A" w:rsidTr="007513CB">
        <w:tc>
          <w:tcPr>
            <w:tcW w:w="3438" w:type="dxa"/>
          </w:tcPr>
          <w:p w:rsidR="0017361A" w:rsidRPr="007513CB" w:rsidRDefault="0017361A" w:rsidP="00675743">
            <w:pPr>
              <w:rPr>
                <w:rFonts w:ascii="Franklin Gothic Book" w:hAnsi="Franklin Gothic Book"/>
                <w:sz w:val="20"/>
                <w:szCs w:val="20"/>
              </w:rPr>
            </w:pPr>
            <w:r w:rsidRPr="007513CB">
              <w:rPr>
                <w:rFonts w:ascii="Franklin Gothic Book" w:hAnsi="Franklin Gothic Book"/>
                <w:sz w:val="20"/>
                <w:szCs w:val="20"/>
              </w:rPr>
              <w:t>Low-wage</w:t>
            </w:r>
          </w:p>
        </w:tc>
        <w:tc>
          <w:tcPr>
            <w:tcW w:w="3150"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17.1%</w:t>
            </w:r>
          </w:p>
        </w:tc>
        <w:tc>
          <w:tcPr>
            <w:tcW w:w="2988" w:type="dxa"/>
          </w:tcPr>
          <w:p w:rsidR="0017361A" w:rsidRPr="007513CB" w:rsidRDefault="0017361A" w:rsidP="007513CB">
            <w:pPr>
              <w:ind w:right="1152"/>
              <w:jc w:val="right"/>
              <w:rPr>
                <w:rFonts w:ascii="Franklin Gothic Book" w:hAnsi="Franklin Gothic Book"/>
                <w:sz w:val="20"/>
                <w:szCs w:val="20"/>
              </w:rPr>
            </w:pPr>
            <w:r w:rsidRPr="007513CB">
              <w:rPr>
                <w:rFonts w:ascii="Franklin Gothic Book" w:hAnsi="Franklin Gothic Book"/>
                <w:sz w:val="20"/>
                <w:szCs w:val="20"/>
              </w:rPr>
              <w:t>18.2%</w:t>
            </w:r>
          </w:p>
        </w:tc>
      </w:tr>
    </w:tbl>
    <w:p w:rsidR="0017361A" w:rsidRPr="005E559F" w:rsidRDefault="0017361A" w:rsidP="0017361A"/>
    <w:p w:rsidR="0017361A" w:rsidRPr="00421234" w:rsidRDefault="0017361A" w:rsidP="0017361A"/>
    <w:p w:rsidR="0017361A" w:rsidRDefault="0017361A" w:rsidP="0017361A">
      <w:pPr>
        <w:tabs>
          <w:tab w:val="left" w:pos="216"/>
        </w:tabs>
        <w:ind w:firstLine="216"/>
      </w:pPr>
    </w:p>
    <w:p w:rsidR="0017361A" w:rsidRPr="00321F6C" w:rsidRDefault="0017361A" w:rsidP="0017361A">
      <w:pPr>
        <w:rPr>
          <w:i/>
          <w:caps/>
          <w:color w:val="0768AE"/>
          <w:spacing w:val="-20"/>
          <w:sz w:val="22"/>
          <w:szCs w:val="22"/>
        </w:rPr>
      </w:pPr>
    </w:p>
    <w:sectPr w:rsidR="0017361A" w:rsidRPr="00321F6C" w:rsidSect="0088108E">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43" w:rsidRDefault="00675743" w:rsidP="00F71920">
      <w:r>
        <w:separator/>
      </w:r>
    </w:p>
  </w:endnote>
  <w:endnote w:type="continuationSeparator" w:id="0">
    <w:p w:rsidR="00675743" w:rsidRDefault="00675743" w:rsidP="00F71920">
      <w:r>
        <w:continuationSeparator/>
      </w:r>
    </w:p>
  </w:endnote>
  <w:endnote w:id="1">
    <w:p w:rsidR="00675743" w:rsidRDefault="00675743" w:rsidP="0017361A">
      <w:pPr>
        <w:pStyle w:val="EndnoteText"/>
        <w:spacing w:after="120"/>
      </w:pPr>
      <w:r>
        <w:rPr>
          <w:rStyle w:val="EndnoteReference"/>
        </w:rPr>
        <w:endnoteRef/>
      </w:r>
      <w:proofErr w:type="gramStart"/>
      <w:r>
        <w:t xml:space="preserve">Bureau of Labor Statistics, Local Area Unemployment Statistics, 2012, </w:t>
      </w:r>
      <w:hyperlink r:id="rId1" w:history="1">
        <w:r w:rsidRPr="00482CB1">
          <w:rPr>
            <w:rStyle w:val="Hyperlink"/>
          </w:rPr>
          <w:t>http://data.bls.gov/timeseries/LASST11000003</w:t>
        </w:r>
      </w:hyperlink>
      <w:r>
        <w:t>.</w:t>
      </w:r>
      <w:proofErr w:type="gramEnd"/>
    </w:p>
  </w:endnote>
  <w:endnote w:id="2">
    <w:p w:rsidR="00675743" w:rsidRDefault="00675743" w:rsidP="0017361A">
      <w:pPr>
        <w:pStyle w:val="EndnoteText"/>
        <w:spacing w:after="120"/>
      </w:pPr>
      <w:r>
        <w:rPr>
          <w:rStyle w:val="EndnoteReference"/>
        </w:rPr>
        <w:endnoteRef/>
      </w:r>
      <w:r>
        <w:t xml:space="preserve"> To see last quarter’s report, visit </w:t>
      </w:r>
      <w:hyperlink r:id="rId2" w:history="1">
        <w:r w:rsidRPr="009B0BDF">
          <w:rPr>
            <w:rStyle w:val="Hyperlink"/>
          </w:rPr>
          <w:t>http://www.dcfpi.org/unemployment-still-rising-in-the-district</w:t>
        </w:r>
      </w:hyperlink>
      <w:r>
        <w:t xml:space="preserve">. </w:t>
      </w:r>
    </w:p>
  </w:endnote>
  <w:endnote w:id="3">
    <w:p w:rsidR="00675743" w:rsidRDefault="00675743" w:rsidP="0017361A">
      <w:pPr>
        <w:pStyle w:val="EndnoteText"/>
        <w:spacing w:after="120"/>
      </w:pPr>
      <w:r>
        <w:rPr>
          <w:rStyle w:val="EndnoteReference"/>
        </w:rPr>
        <w:endnoteRef/>
      </w:r>
      <w:r>
        <w:t xml:space="preserve"> Due to the small sample size for DC unemployment data, the percentages reported here should be considered as best estimates of the demographics of DC’s unemployed residents.    </w:t>
      </w:r>
    </w:p>
  </w:endnote>
  <w:endnote w:id="4">
    <w:p w:rsidR="00675743" w:rsidRDefault="00675743" w:rsidP="0017361A">
      <w:pPr>
        <w:pStyle w:val="EndnoteText"/>
      </w:pPr>
      <w:r>
        <w:rPr>
          <w:rStyle w:val="EndnoteReference"/>
        </w:rPr>
        <w:endnoteRef/>
      </w:r>
      <w:r>
        <w:t xml:space="preserve"> Low wage occupations were defined as those in which the average wage was below the 25</w:t>
      </w:r>
      <w:r w:rsidRPr="00903B44">
        <w:rPr>
          <w:vertAlign w:val="superscript"/>
        </w:rPr>
        <w:t>th</w:t>
      </w:r>
      <w:r>
        <w:t xml:space="preserve"> percentile of overall DC wages. High wage occupations were defined as those in which the average wage was above the 75</w:t>
      </w:r>
      <w:r w:rsidRPr="00903B44">
        <w:rPr>
          <w:vertAlign w:val="superscript"/>
        </w:rPr>
        <w:t>th</w:t>
      </w:r>
      <w:r>
        <w:t xml:space="preserve"> percentile of overall DC wages. The medium wage category encompassed those occupations that fell within the 25</w:t>
      </w:r>
      <w:r w:rsidRPr="00903B44">
        <w:rPr>
          <w:vertAlign w:val="superscript"/>
        </w:rPr>
        <w:t>th</w:t>
      </w:r>
      <w:r>
        <w:t xml:space="preserve"> and 75</w:t>
      </w:r>
      <w:r w:rsidRPr="00903B44">
        <w:rPr>
          <w:vertAlign w:val="superscript"/>
        </w:rPr>
        <w:t>th</w:t>
      </w:r>
      <w:r>
        <w:t xml:space="preserve"> percentiles.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1234"/>
      <w:docPartObj>
        <w:docPartGallery w:val="Page Numbers (Bottom of Page)"/>
        <w:docPartUnique/>
      </w:docPartObj>
    </w:sdtPr>
    <w:sdtContent>
      <w:p w:rsidR="00675743" w:rsidRDefault="00282C21">
        <w:pPr>
          <w:pStyle w:val="Footer"/>
        </w:pPr>
        <w:fldSimple w:instr=" PAGE   \* MERGEFORMAT ">
          <w:r w:rsidR="0017542C">
            <w:rPr>
              <w:noProof/>
            </w:rPr>
            <w:t>4</w:t>
          </w:r>
        </w:fldSimple>
      </w:p>
    </w:sdtContent>
  </w:sdt>
  <w:p w:rsidR="00675743" w:rsidRDefault="00675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1237"/>
      <w:docPartObj>
        <w:docPartGallery w:val="Page Numbers (Bottom of Page)"/>
        <w:docPartUnique/>
      </w:docPartObj>
    </w:sdtPr>
    <w:sdtContent>
      <w:p w:rsidR="00675743" w:rsidRDefault="00282C21">
        <w:pPr>
          <w:pStyle w:val="Footer"/>
          <w:jc w:val="right"/>
        </w:pPr>
        <w:fldSimple w:instr=" PAGE   \* MERGEFORMAT ">
          <w:r w:rsidR="0017542C">
            <w:rPr>
              <w:noProof/>
            </w:rPr>
            <w:t>5</w:t>
          </w:r>
        </w:fldSimple>
      </w:p>
    </w:sdtContent>
  </w:sdt>
  <w:p w:rsidR="00675743" w:rsidRDefault="00675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43" w:rsidRDefault="00675743" w:rsidP="00F71920">
      <w:r>
        <w:separator/>
      </w:r>
    </w:p>
  </w:footnote>
  <w:footnote w:type="continuationSeparator" w:id="0">
    <w:p w:rsidR="00675743" w:rsidRDefault="00675743" w:rsidP="00F71920">
      <w:r>
        <w:continuationSeparator/>
      </w:r>
    </w:p>
  </w:footnote>
  <w:footnote w:id="1">
    <w:p w:rsidR="00675743" w:rsidRDefault="00675743" w:rsidP="0017361A">
      <w:pPr>
        <w:pStyle w:val="FootnoteText"/>
      </w:pPr>
      <w:r>
        <w:rPr>
          <w:rStyle w:val="FootnoteReference"/>
        </w:rPr>
        <w:footnoteRef/>
      </w:r>
      <w:r>
        <w:t>See Appendix on page 5 for 4</w:t>
      </w:r>
      <w:r w:rsidRPr="000B7AB5">
        <w:rPr>
          <w:vertAlign w:val="superscript"/>
        </w:rPr>
        <w:t>th</w:t>
      </w:r>
      <w:r>
        <w:t xml:space="preserve"> quarter 2011 and 1</w:t>
      </w:r>
      <w:r w:rsidRPr="004B5F09">
        <w:rPr>
          <w:vertAlign w:val="superscript"/>
        </w:rPr>
        <w:t>st</w:t>
      </w:r>
      <w:r>
        <w:t xml:space="preserve"> quarter 2012 numbers.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E6C47E"/>
    <w:lvl w:ilvl="0">
      <w:start w:val="1"/>
      <w:numFmt w:val="bullet"/>
      <w:lvlText w:val=""/>
      <w:lvlJc w:val="left"/>
      <w:pPr>
        <w:tabs>
          <w:tab w:val="num" w:pos="360"/>
        </w:tabs>
        <w:ind w:left="360" w:hanging="360"/>
      </w:pPr>
      <w:rPr>
        <w:rFonts w:ascii="Symbol" w:hAnsi="Symbol" w:hint="default"/>
      </w:rPr>
    </w:lvl>
  </w:abstractNum>
  <w:abstractNum w:abstractNumId="1">
    <w:nsid w:val="339212C6"/>
    <w:multiLevelType w:val="hybridMultilevel"/>
    <w:tmpl w:val="371EEE2C"/>
    <w:lvl w:ilvl="0" w:tplc="2DBE27B2">
      <w:start w:val="1"/>
      <w:numFmt w:val="bullet"/>
      <w:lvlRestart w:val="0"/>
      <w:pStyle w:val="ListBullet"/>
      <w:lvlText w:val=""/>
      <w:lvlJc w:val="left"/>
      <w:pPr>
        <w:tabs>
          <w:tab w:val="num" w:pos="216"/>
        </w:tabs>
        <w:ind w:left="432" w:hanging="216"/>
      </w:pPr>
      <w:rPr>
        <w:rFonts w:ascii="Symbol" w:hAnsi="Symbol" w:hint="default"/>
        <w:b w:val="0"/>
        <w:i w:val="0"/>
        <w:sz w:val="16"/>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F71920"/>
    <w:rsid w:val="000010A9"/>
    <w:rsid w:val="00015CA0"/>
    <w:rsid w:val="00037F00"/>
    <w:rsid w:val="0005648B"/>
    <w:rsid w:val="00086C99"/>
    <w:rsid w:val="0009346B"/>
    <w:rsid w:val="000B7AB5"/>
    <w:rsid w:val="001055E9"/>
    <w:rsid w:val="00105ACC"/>
    <w:rsid w:val="00127536"/>
    <w:rsid w:val="001375F5"/>
    <w:rsid w:val="0014072A"/>
    <w:rsid w:val="00142614"/>
    <w:rsid w:val="0016310E"/>
    <w:rsid w:val="0017361A"/>
    <w:rsid w:val="00174C01"/>
    <w:rsid w:val="0017542C"/>
    <w:rsid w:val="00197CB1"/>
    <w:rsid w:val="001A5E1D"/>
    <w:rsid w:val="001B77D6"/>
    <w:rsid w:val="001D286A"/>
    <w:rsid w:val="001E0D42"/>
    <w:rsid w:val="002013CF"/>
    <w:rsid w:val="00201ADF"/>
    <w:rsid w:val="002034B5"/>
    <w:rsid w:val="002066D1"/>
    <w:rsid w:val="002302AE"/>
    <w:rsid w:val="002626C8"/>
    <w:rsid w:val="00270F28"/>
    <w:rsid w:val="00282C21"/>
    <w:rsid w:val="00292B75"/>
    <w:rsid w:val="002B7929"/>
    <w:rsid w:val="002D0A71"/>
    <w:rsid w:val="002D6DD4"/>
    <w:rsid w:val="002E559E"/>
    <w:rsid w:val="002F0D8E"/>
    <w:rsid w:val="00301E89"/>
    <w:rsid w:val="00301F8D"/>
    <w:rsid w:val="00306E34"/>
    <w:rsid w:val="00316DD5"/>
    <w:rsid w:val="00374101"/>
    <w:rsid w:val="00374B3D"/>
    <w:rsid w:val="003A771B"/>
    <w:rsid w:val="003D4EDD"/>
    <w:rsid w:val="003F636F"/>
    <w:rsid w:val="003F6EC9"/>
    <w:rsid w:val="00445144"/>
    <w:rsid w:val="00467718"/>
    <w:rsid w:val="004B5FD2"/>
    <w:rsid w:val="005028E6"/>
    <w:rsid w:val="005070A1"/>
    <w:rsid w:val="00514697"/>
    <w:rsid w:val="00516D1C"/>
    <w:rsid w:val="00572BDF"/>
    <w:rsid w:val="005734C0"/>
    <w:rsid w:val="00574B21"/>
    <w:rsid w:val="0058260C"/>
    <w:rsid w:val="00593A2A"/>
    <w:rsid w:val="005A064C"/>
    <w:rsid w:val="005D170C"/>
    <w:rsid w:val="005D2210"/>
    <w:rsid w:val="005D7B97"/>
    <w:rsid w:val="005F08BF"/>
    <w:rsid w:val="005F2BDE"/>
    <w:rsid w:val="005F2EBC"/>
    <w:rsid w:val="005F7A94"/>
    <w:rsid w:val="006120E5"/>
    <w:rsid w:val="006166AE"/>
    <w:rsid w:val="00623C72"/>
    <w:rsid w:val="0062514C"/>
    <w:rsid w:val="00626277"/>
    <w:rsid w:val="0063543B"/>
    <w:rsid w:val="00674962"/>
    <w:rsid w:val="00675743"/>
    <w:rsid w:val="006929D6"/>
    <w:rsid w:val="006E353D"/>
    <w:rsid w:val="006E3B4F"/>
    <w:rsid w:val="006F478D"/>
    <w:rsid w:val="007310E0"/>
    <w:rsid w:val="007446B9"/>
    <w:rsid w:val="007513CB"/>
    <w:rsid w:val="007615DD"/>
    <w:rsid w:val="007672E9"/>
    <w:rsid w:val="007A659B"/>
    <w:rsid w:val="007B3355"/>
    <w:rsid w:val="007C2D38"/>
    <w:rsid w:val="007D6AA4"/>
    <w:rsid w:val="007D7BE7"/>
    <w:rsid w:val="00810F47"/>
    <w:rsid w:val="00816FF5"/>
    <w:rsid w:val="00824508"/>
    <w:rsid w:val="008262C3"/>
    <w:rsid w:val="008274AF"/>
    <w:rsid w:val="00851E88"/>
    <w:rsid w:val="00855997"/>
    <w:rsid w:val="0088108E"/>
    <w:rsid w:val="00884115"/>
    <w:rsid w:val="00886AB9"/>
    <w:rsid w:val="008969E0"/>
    <w:rsid w:val="008A0CB1"/>
    <w:rsid w:val="008A3B9F"/>
    <w:rsid w:val="008A3D35"/>
    <w:rsid w:val="008B5C08"/>
    <w:rsid w:val="008C5109"/>
    <w:rsid w:val="008D3930"/>
    <w:rsid w:val="008D7321"/>
    <w:rsid w:val="008F7834"/>
    <w:rsid w:val="00916715"/>
    <w:rsid w:val="009361E6"/>
    <w:rsid w:val="00942CCF"/>
    <w:rsid w:val="009571FE"/>
    <w:rsid w:val="0097081D"/>
    <w:rsid w:val="009F3C3F"/>
    <w:rsid w:val="009F7A9C"/>
    <w:rsid w:val="00A64F8D"/>
    <w:rsid w:val="00AC1253"/>
    <w:rsid w:val="00AC2B18"/>
    <w:rsid w:val="00AC2CDD"/>
    <w:rsid w:val="00AC4DAB"/>
    <w:rsid w:val="00AC57DC"/>
    <w:rsid w:val="00AD41ED"/>
    <w:rsid w:val="00AF7432"/>
    <w:rsid w:val="00B10D2E"/>
    <w:rsid w:val="00B355C0"/>
    <w:rsid w:val="00B504FB"/>
    <w:rsid w:val="00BA5C2C"/>
    <w:rsid w:val="00BB6AD6"/>
    <w:rsid w:val="00BC1D3E"/>
    <w:rsid w:val="00BC4CDA"/>
    <w:rsid w:val="00BD0791"/>
    <w:rsid w:val="00C062DA"/>
    <w:rsid w:val="00C550EA"/>
    <w:rsid w:val="00C64BF2"/>
    <w:rsid w:val="00C67E6F"/>
    <w:rsid w:val="00C94E92"/>
    <w:rsid w:val="00CB4DCE"/>
    <w:rsid w:val="00CF6F41"/>
    <w:rsid w:val="00D243A6"/>
    <w:rsid w:val="00D33A57"/>
    <w:rsid w:val="00D3576D"/>
    <w:rsid w:val="00D43460"/>
    <w:rsid w:val="00D63B5A"/>
    <w:rsid w:val="00D7293F"/>
    <w:rsid w:val="00D749F3"/>
    <w:rsid w:val="00DA3F3F"/>
    <w:rsid w:val="00DE36D0"/>
    <w:rsid w:val="00DE591B"/>
    <w:rsid w:val="00E23B68"/>
    <w:rsid w:val="00E82057"/>
    <w:rsid w:val="00EA552D"/>
    <w:rsid w:val="00EC21AA"/>
    <w:rsid w:val="00EE0853"/>
    <w:rsid w:val="00EE5858"/>
    <w:rsid w:val="00EE68F2"/>
    <w:rsid w:val="00F1697D"/>
    <w:rsid w:val="00F22F7D"/>
    <w:rsid w:val="00F269D7"/>
    <w:rsid w:val="00F52C8C"/>
    <w:rsid w:val="00F61161"/>
    <w:rsid w:val="00F71920"/>
    <w:rsid w:val="00F76C24"/>
    <w:rsid w:val="00F803B0"/>
    <w:rsid w:val="00FB4B8C"/>
    <w:rsid w:val="00FC2834"/>
    <w:rsid w:val="00FC56C2"/>
    <w:rsid w:val="00FE012E"/>
    <w:rsid w:val="00FF6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20"/>
    <w:rPr>
      <w:rFonts w:ascii="Garamond" w:hAnsi="Garamond"/>
      <w:sz w:val="24"/>
      <w:szCs w:val="24"/>
    </w:rPr>
  </w:style>
  <w:style w:type="paragraph" w:styleId="Heading1">
    <w:name w:val="heading 1"/>
    <w:basedOn w:val="Normal"/>
    <w:next w:val="Normal"/>
    <w:link w:val="Heading1Char"/>
    <w:qFormat/>
    <w:rsid w:val="00D3576D"/>
    <w:pPr>
      <w:keepNext/>
      <w:outlineLvl w:val="0"/>
    </w:pPr>
    <w:rPr>
      <w:rFonts w:ascii="Franklin Gothic Medium" w:hAnsi="Franklin Gothic Medium" w:cs="Arial"/>
      <w:b/>
      <w:bCs/>
    </w:rPr>
  </w:style>
  <w:style w:type="paragraph" w:styleId="Heading2">
    <w:name w:val="heading 2"/>
    <w:basedOn w:val="Normal"/>
    <w:next w:val="Normal"/>
    <w:link w:val="Heading2Char"/>
    <w:qFormat/>
    <w:rsid w:val="00D3576D"/>
    <w:pPr>
      <w:keepNext/>
      <w:jc w:val="center"/>
      <w:outlineLvl w:val="1"/>
    </w:pPr>
    <w:rPr>
      <w:rFonts w:ascii="Franklin Gothic Medium" w:hAnsi="Franklin Gothic Medium" w:cs="Arial"/>
      <w:bCs/>
      <w:iCs/>
    </w:rPr>
  </w:style>
  <w:style w:type="paragraph" w:styleId="Heading3">
    <w:name w:val="heading 3"/>
    <w:basedOn w:val="Normal"/>
    <w:next w:val="Normal"/>
    <w:link w:val="Heading3Char"/>
    <w:qFormat/>
    <w:rsid w:val="00D3576D"/>
    <w:pPr>
      <w:keepNext/>
      <w:jc w:val="center"/>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76D"/>
    <w:rPr>
      <w:rFonts w:ascii="Franklin Gothic Medium" w:hAnsi="Franklin Gothic Medium" w:cs="Arial"/>
      <w:b/>
      <w:bCs/>
      <w:sz w:val="24"/>
      <w:szCs w:val="24"/>
    </w:rPr>
  </w:style>
  <w:style w:type="character" w:customStyle="1" w:styleId="Heading2Char">
    <w:name w:val="Heading 2 Char"/>
    <w:basedOn w:val="DefaultParagraphFont"/>
    <w:link w:val="Heading2"/>
    <w:rsid w:val="00D3576D"/>
    <w:rPr>
      <w:rFonts w:ascii="Franklin Gothic Medium" w:hAnsi="Franklin Gothic Medium" w:cs="Arial"/>
      <w:bCs/>
      <w:iCs/>
      <w:sz w:val="24"/>
      <w:szCs w:val="24"/>
    </w:rPr>
  </w:style>
  <w:style w:type="character" w:customStyle="1" w:styleId="Heading3Char">
    <w:name w:val="Heading 3 Char"/>
    <w:basedOn w:val="DefaultParagraphFont"/>
    <w:link w:val="Heading3"/>
    <w:rsid w:val="00D3576D"/>
    <w:rPr>
      <w:rFonts w:ascii="Garamond" w:hAnsi="Garamond" w:cs="Arial"/>
      <w:bCs/>
      <w:i/>
      <w:sz w:val="24"/>
      <w:szCs w:val="24"/>
    </w:rPr>
  </w:style>
  <w:style w:type="paragraph" w:styleId="Title">
    <w:name w:val="Title"/>
    <w:basedOn w:val="Normal"/>
    <w:link w:val="TitleChar"/>
    <w:qFormat/>
    <w:rsid w:val="00D3576D"/>
    <w:pPr>
      <w:jc w:val="center"/>
      <w:outlineLvl w:val="0"/>
    </w:pPr>
    <w:rPr>
      <w:rFonts w:ascii="Franklin Gothic Medium" w:hAnsi="Franklin Gothic Medium" w:cs="Arial"/>
      <w:bCs/>
      <w:caps/>
      <w:spacing w:val="-20"/>
      <w:sz w:val="40"/>
      <w:szCs w:val="40"/>
    </w:rPr>
  </w:style>
  <w:style w:type="character" w:customStyle="1" w:styleId="TitleChar">
    <w:name w:val="Title Char"/>
    <w:basedOn w:val="DefaultParagraphFont"/>
    <w:link w:val="Title"/>
    <w:rsid w:val="00D3576D"/>
    <w:rPr>
      <w:rFonts w:ascii="Franklin Gothic Medium" w:hAnsi="Franklin Gothic Medium" w:cs="Arial"/>
      <w:bCs/>
      <w:caps/>
      <w:spacing w:val="-20"/>
      <w:sz w:val="40"/>
      <w:szCs w:val="40"/>
    </w:rPr>
  </w:style>
  <w:style w:type="paragraph" w:styleId="Subtitle">
    <w:name w:val="Subtitle"/>
    <w:basedOn w:val="Normal"/>
    <w:link w:val="SubtitleChar"/>
    <w:qFormat/>
    <w:rsid w:val="00D3576D"/>
    <w:pPr>
      <w:jc w:val="center"/>
      <w:outlineLvl w:val="1"/>
    </w:pPr>
    <w:rPr>
      <w:rFonts w:ascii="Franklin Gothic Medium" w:hAnsi="Franklin Gothic Medium" w:cs="Arial"/>
      <w:spacing w:val="-20"/>
      <w:sz w:val="36"/>
      <w:szCs w:val="36"/>
    </w:rPr>
  </w:style>
  <w:style w:type="character" w:customStyle="1" w:styleId="SubtitleChar">
    <w:name w:val="Subtitle Char"/>
    <w:basedOn w:val="DefaultParagraphFont"/>
    <w:link w:val="Subtitle"/>
    <w:rsid w:val="00D3576D"/>
    <w:rPr>
      <w:rFonts w:ascii="Franklin Gothic Medium" w:hAnsi="Franklin Gothic Medium" w:cs="Arial"/>
      <w:spacing w:val="-20"/>
      <w:sz w:val="36"/>
      <w:szCs w:val="36"/>
    </w:rPr>
  </w:style>
  <w:style w:type="paragraph" w:styleId="ListBullet">
    <w:name w:val="List Bullet"/>
    <w:basedOn w:val="Normal"/>
    <w:next w:val="Normal"/>
    <w:rsid w:val="00D33A57"/>
    <w:pPr>
      <w:widowControl w:val="0"/>
      <w:numPr>
        <w:numId w:val="1"/>
      </w:numPr>
      <w:tabs>
        <w:tab w:val="left" w:pos="432"/>
      </w:tabs>
    </w:pPr>
  </w:style>
  <w:style w:type="character" w:styleId="Hyperlink">
    <w:name w:val="Hyperlink"/>
    <w:basedOn w:val="DefaultParagraphFont"/>
    <w:rsid w:val="00F71920"/>
    <w:rPr>
      <w:color w:val="0000FF"/>
      <w:u w:val="single"/>
    </w:rPr>
  </w:style>
  <w:style w:type="paragraph" w:styleId="ListParagraph">
    <w:name w:val="List Paragraph"/>
    <w:basedOn w:val="Normal"/>
    <w:uiPriority w:val="34"/>
    <w:qFormat/>
    <w:rsid w:val="00F71920"/>
    <w:pPr>
      <w:ind w:left="720"/>
    </w:pPr>
  </w:style>
  <w:style w:type="character" w:styleId="Strong">
    <w:name w:val="Strong"/>
    <w:basedOn w:val="DefaultParagraphFont"/>
    <w:uiPriority w:val="22"/>
    <w:qFormat/>
    <w:rsid w:val="00F71920"/>
    <w:rPr>
      <w:b/>
      <w:bCs/>
    </w:rPr>
  </w:style>
  <w:style w:type="paragraph" w:styleId="EndnoteText">
    <w:name w:val="endnote text"/>
    <w:basedOn w:val="Normal"/>
    <w:link w:val="EndnoteTextChar"/>
    <w:uiPriority w:val="99"/>
    <w:semiHidden/>
    <w:unhideWhenUsed/>
    <w:rsid w:val="00F71920"/>
    <w:rPr>
      <w:sz w:val="20"/>
      <w:szCs w:val="20"/>
    </w:rPr>
  </w:style>
  <w:style w:type="character" w:customStyle="1" w:styleId="EndnoteTextChar">
    <w:name w:val="Endnote Text Char"/>
    <w:basedOn w:val="DefaultParagraphFont"/>
    <w:link w:val="EndnoteText"/>
    <w:uiPriority w:val="99"/>
    <w:semiHidden/>
    <w:rsid w:val="00F71920"/>
    <w:rPr>
      <w:rFonts w:ascii="Garamond" w:hAnsi="Garamond"/>
    </w:rPr>
  </w:style>
  <w:style w:type="character" w:styleId="EndnoteReference">
    <w:name w:val="endnote reference"/>
    <w:basedOn w:val="DefaultParagraphFont"/>
    <w:uiPriority w:val="99"/>
    <w:semiHidden/>
    <w:unhideWhenUsed/>
    <w:rsid w:val="00F71920"/>
    <w:rPr>
      <w:vertAlign w:val="superscript"/>
    </w:rPr>
  </w:style>
  <w:style w:type="paragraph" w:styleId="BalloonText">
    <w:name w:val="Balloon Text"/>
    <w:basedOn w:val="Normal"/>
    <w:link w:val="BalloonTextChar"/>
    <w:uiPriority w:val="99"/>
    <w:semiHidden/>
    <w:unhideWhenUsed/>
    <w:rsid w:val="00F71920"/>
    <w:rPr>
      <w:rFonts w:ascii="Tahoma" w:hAnsi="Tahoma" w:cs="Tahoma"/>
      <w:sz w:val="16"/>
      <w:szCs w:val="16"/>
    </w:rPr>
  </w:style>
  <w:style w:type="character" w:customStyle="1" w:styleId="BalloonTextChar">
    <w:name w:val="Balloon Text Char"/>
    <w:basedOn w:val="DefaultParagraphFont"/>
    <w:link w:val="BalloonText"/>
    <w:uiPriority w:val="99"/>
    <w:semiHidden/>
    <w:rsid w:val="00F71920"/>
    <w:rPr>
      <w:rFonts w:ascii="Tahoma" w:hAnsi="Tahoma" w:cs="Tahoma"/>
      <w:sz w:val="16"/>
      <w:szCs w:val="16"/>
    </w:rPr>
  </w:style>
  <w:style w:type="paragraph" w:styleId="FootnoteText">
    <w:name w:val="footnote text"/>
    <w:basedOn w:val="Normal"/>
    <w:link w:val="FootnoteTextChar"/>
    <w:uiPriority w:val="99"/>
    <w:semiHidden/>
    <w:unhideWhenUsed/>
    <w:rsid w:val="00AD41ED"/>
    <w:rPr>
      <w:sz w:val="20"/>
      <w:szCs w:val="20"/>
    </w:rPr>
  </w:style>
  <w:style w:type="character" w:customStyle="1" w:styleId="FootnoteTextChar">
    <w:name w:val="Footnote Text Char"/>
    <w:basedOn w:val="DefaultParagraphFont"/>
    <w:link w:val="FootnoteText"/>
    <w:uiPriority w:val="99"/>
    <w:semiHidden/>
    <w:rsid w:val="00AD41ED"/>
    <w:rPr>
      <w:rFonts w:ascii="Garamond" w:hAnsi="Garamond"/>
    </w:rPr>
  </w:style>
  <w:style w:type="character" w:styleId="FootnoteReference">
    <w:name w:val="footnote reference"/>
    <w:basedOn w:val="DefaultParagraphFont"/>
    <w:uiPriority w:val="99"/>
    <w:semiHidden/>
    <w:unhideWhenUsed/>
    <w:rsid w:val="00AD41ED"/>
    <w:rPr>
      <w:vertAlign w:val="superscript"/>
    </w:rPr>
  </w:style>
  <w:style w:type="character" w:styleId="CommentReference">
    <w:name w:val="annotation reference"/>
    <w:basedOn w:val="DefaultParagraphFont"/>
    <w:uiPriority w:val="99"/>
    <w:semiHidden/>
    <w:unhideWhenUsed/>
    <w:rsid w:val="00142614"/>
    <w:rPr>
      <w:sz w:val="16"/>
      <w:szCs w:val="16"/>
    </w:rPr>
  </w:style>
  <w:style w:type="paragraph" w:styleId="CommentText">
    <w:name w:val="annotation text"/>
    <w:basedOn w:val="Normal"/>
    <w:link w:val="CommentTextChar"/>
    <w:uiPriority w:val="99"/>
    <w:semiHidden/>
    <w:unhideWhenUsed/>
    <w:rsid w:val="00142614"/>
    <w:rPr>
      <w:sz w:val="20"/>
      <w:szCs w:val="20"/>
    </w:rPr>
  </w:style>
  <w:style w:type="character" w:customStyle="1" w:styleId="CommentTextChar">
    <w:name w:val="Comment Text Char"/>
    <w:basedOn w:val="DefaultParagraphFont"/>
    <w:link w:val="CommentText"/>
    <w:uiPriority w:val="99"/>
    <w:semiHidden/>
    <w:rsid w:val="00142614"/>
    <w:rPr>
      <w:rFonts w:ascii="Garamond" w:hAnsi="Garamond"/>
    </w:rPr>
  </w:style>
  <w:style w:type="paragraph" w:styleId="CommentSubject">
    <w:name w:val="annotation subject"/>
    <w:basedOn w:val="CommentText"/>
    <w:next w:val="CommentText"/>
    <w:link w:val="CommentSubjectChar"/>
    <w:uiPriority w:val="99"/>
    <w:semiHidden/>
    <w:unhideWhenUsed/>
    <w:rsid w:val="00142614"/>
    <w:rPr>
      <w:b/>
      <w:bCs/>
    </w:rPr>
  </w:style>
  <w:style w:type="character" w:customStyle="1" w:styleId="CommentSubjectChar">
    <w:name w:val="Comment Subject Char"/>
    <w:basedOn w:val="CommentTextChar"/>
    <w:link w:val="CommentSubject"/>
    <w:uiPriority w:val="99"/>
    <w:semiHidden/>
    <w:rsid w:val="00142614"/>
    <w:rPr>
      <w:rFonts w:ascii="Garamond" w:hAnsi="Garamond"/>
      <w:b/>
      <w:bCs/>
    </w:rPr>
  </w:style>
  <w:style w:type="table" w:styleId="TableGrid">
    <w:name w:val="Table Grid"/>
    <w:basedOn w:val="TableNormal"/>
    <w:uiPriority w:val="59"/>
    <w:rsid w:val="00616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8108E"/>
    <w:pPr>
      <w:tabs>
        <w:tab w:val="center" w:pos="4680"/>
        <w:tab w:val="right" w:pos="9360"/>
      </w:tabs>
    </w:pPr>
  </w:style>
  <w:style w:type="character" w:customStyle="1" w:styleId="HeaderChar">
    <w:name w:val="Header Char"/>
    <w:basedOn w:val="DefaultParagraphFont"/>
    <w:link w:val="Header"/>
    <w:uiPriority w:val="99"/>
    <w:semiHidden/>
    <w:rsid w:val="0088108E"/>
    <w:rPr>
      <w:rFonts w:ascii="Garamond" w:hAnsi="Garamond"/>
      <w:sz w:val="24"/>
      <w:szCs w:val="24"/>
    </w:rPr>
  </w:style>
  <w:style w:type="paragraph" w:styleId="Footer">
    <w:name w:val="footer"/>
    <w:basedOn w:val="Normal"/>
    <w:link w:val="FooterChar"/>
    <w:uiPriority w:val="99"/>
    <w:unhideWhenUsed/>
    <w:rsid w:val="0088108E"/>
    <w:pPr>
      <w:tabs>
        <w:tab w:val="center" w:pos="4680"/>
        <w:tab w:val="right" w:pos="9360"/>
      </w:tabs>
    </w:pPr>
  </w:style>
  <w:style w:type="character" w:customStyle="1" w:styleId="FooterChar">
    <w:name w:val="Footer Char"/>
    <w:basedOn w:val="DefaultParagraphFont"/>
    <w:link w:val="Footer"/>
    <w:uiPriority w:val="99"/>
    <w:rsid w:val="0088108E"/>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dcfpi.org/unemployment-still-rising-in-the-district" TargetMode="External"/><Relationship Id="rId1" Type="http://schemas.openxmlformats.org/officeDocument/2006/relationships/hyperlink" Target="http://data.bls.gov/timeseries/LASST110000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R2-D2\Data\dcfpi\Caitlin%20Biegler\Unemployment\Update%20piece%202012%201Q\new%20numb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R2-D2\Data\dcfpi\Caitlin%20Biegler\Unemployment\Update%20piece%202012%201Q\new%20numbe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R2-D2\Data\dcfpi\Caitlin%20Biegler\Unemployment\Update%20piece%202012%201Q\new%20number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R2-D2\Data\dcfpi\Caitlin%20Biegler\Unemployment\Update%20piece%202012%201Q\new%20number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R2-D2\Data\dcfpi\Caitlin%20Biegler\Unemployment\Update%20piece%202012%201Q\new%20numb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Summary!$B$2</c:f>
              <c:strCache>
                <c:ptCount val="1"/>
                <c:pt idx="0">
                  <c:v>Less than a high school diploma</c:v>
                </c:pt>
              </c:strCache>
            </c:strRef>
          </c:tx>
          <c:marker>
            <c:symbol val="none"/>
          </c:marker>
          <c:cat>
            <c:strRef>
              <c:f>Summary!$A$3:$A$10</c:f>
              <c:strCache>
                <c:ptCount val="8"/>
                <c:pt idx="0">
                  <c:v>2006</c:v>
                </c:pt>
                <c:pt idx="1">
                  <c:v>2007</c:v>
                </c:pt>
                <c:pt idx="2">
                  <c:v>2008</c:v>
                </c:pt>
                <c:pt idx="3">
                  <c:v>2009</c:v>
                </c:pt>
                <c:pt idx="4">
                  <c:v>2010</c:v>
                </c:pt>
                <c:pt idx="5">
                  <c:v>3rd Q 2011</c:v>
                </c:pt>
                <c:pt idx="6">
                  <c:v>4th Q 2011</c:v>
                </c:pt>
                <c:pt idx="7">
                  <c:v>1st Q 2012</c:v>
                </c:pt>
              </c:strCache>
            </c:strRef>
          </c:cat>
          <c:val>
            <c:numRef>
              <c:f>Summary!$B$3:$B$10</c:f>
              <c:numCache>
                <c:formatCode>0.00%</c:formatCode>
                <c:ptCount val="8"/>
                <c:pt idx="0">
                  <c:v>0.1565396052968844</c:v>
                </c:pt>
                <c:pt idx="1">
                  <c:v>0.16608429091969842</c:v>
                </c:pt>
                <c:pt idx="2">
                  <c:v>0.17090985767249892</c:v>
                </c:pt>
                <c:pt idx="3">
                  <c:v>0.201228649975697</c:v>
                </c:pt>
                <c:pt idx="4">
                  <c:v>0.25942498660807467</c:v>
                </c:pt>
                <c:pt idx="5">
                  <c:v>0.21230000000000004</c:v>
                </c:pt>
                <c:pt idx="6">
                  <c:v>0.24848547414903627</c:v>
                </c:pt>
                <c:pt idx="7">
                  <c:v>0.22079133499112616</c:v>
                </c:pt>
              </c:numCache>
            </c:numRef>
          </c:val>
        </c:ser>
        <c:ser>
          <c:idx val="1"/>
          <c:order val="1"/>
          <c:tx>
            <c:strRef>
              <c:f>Summary!$C$2</c:f>
              <c:strCache>
                <c:ptCount val="1"/>
                <c:pt idx="0">
                  <c:v>High school graduates, no college</c:v>
                </c:pt>
              </c:strCache>
            </c:strRef>
          </c:tx>
          <c:marker>
            <c:symbol val="none"/>
          </c:marker>
          <c:cat>
            <c:strRef>
              <c:f>Summary!$A$3:$A$10</c:f>
              <c:strCache>
                <c:ptCount val="8"/>
                <c:pt idx="0">
                  <c:v>2006</c:v>
                </c:pt>
                <c:pt idx="1">
                  <c:v>2007</c:v>
                </c:pt>
                <c:pt idx="2">
                  <c:v>2008</c:v>
                </c:pt>
                <c:pt idx="3">
                  <c:v>2009</c:v>
                </c:pt>
                <c:pt idx="4">
                  <c:v>2010</c:v>
                </c:pt>
                <c:pt idx="5">
                  <c:v>3rd Q 2011</c:v>
                </c:pt>
                <c:pt idx="6">
                  <c:v>4th Q 2011</c:v>
                </c:pt>
                <c:pt idx="7">
                  <c:v>1st Q 2012</c:v>
                </c:pt>
              </c:strCache>
            </c:strRef>
          </c:cat>
          <c:val>
            <c:numRef>
              <c:f>Summary!$C$3:$C$10</c:f>
              <c:numCache>
                <c:formatCode>0.00%</c:formatCode>
                <c:ptCount val="8"/>
                <c:pt idx="0">
                  <c:v>9.998751883910216E-2</c:v>
                </c:pt>
                <c:pt idx="1">
                  <c:v>9.6457387835877442E-2</c:v>
                </c:pt>
                <c:pt idx="2">
                  <c:v>0.12500747596773498</c:v>
                </c:pt>
                <c:pt idx="3">
                  <c:v>0.18973348807408477</c:v>
                </c:pt>
                <c:pt idx="4">
                  <c:v>0.22328125693758161</c:v>
                </c:pt>
                <c:pt idx="5">
                  <c:v>0.23870000000000041</c:v>
                </c:pt>
                <c:pt idx="6">
                  <c:v>0.25296638624733087</c:v>
                </c:pt>
                <c:pt idx="7">
                  <c:v>0.19791405546728358</c:v>
                </c:pt>
              </c:numCache>
            </c:numRef>
          </c:val>
        </c:ser>
        <c:ser>
          <c:idx val="4"/>
          <c:order val="2"/>
          <c:tx>
            <c:strRef>
              <c:f>Summary!$F$2</c:f>
              <c:strCache>
                <c:ptCount val="1"/>
                <c:pt idx="0">
                  <c:v>Bachelor's degree or higher</c:v>
                </c:pt>
              </c:strCache>
            </c:strRef>
          </c:tx>
          <c:marker>
            <c:symbol val="none"/>
          </c:marker>
          <c:cat>
            <c:strRef>
              <c:f>Summary!$A$3:$A$10</c:f>
              <c:strCache>
                <c:ptCount val="8"/>
                <c:pt idx="0">
                  <c:v>2006</c:v>
                </c:pt>
                <c:pt idx="1">
                  <c:v>2007</c:v>
                </c:pt>
                <c:pt idx="2">
                  <c:v>2008</c:v>
                </c:pt>
                <c:pt idx="3">
                  <c:v>2009</c:v>
                </c:pt>
                <c:pt idx="4">
                  <c:v>2010</c:v>
                </c:pt>
                <c:pt idx="5">
                  <c:v>3rd Q 2011</c:v>
                </c:pt>
                <c:pt idx="6">
                  <c:v>4th Q 2011</c:v>
                </c:pt>
                <c:pt idx="7">
                  <c:v>1st Q 2012</c:v>
                </c:pt>
              </c:strCache>
            </c:strRef>
          </c:cat>
          <c:val>
            <c:numRef>
              <c:f>Summary!$F$3:$F$10</c:f>
              <c:numCache>
                <c:formatCode>0.00%</c:formatCode>
                <c:ptCount val="8"/>
                <c:pt idx="0">
                  <c:v>2.2896457142952797E-2</c:v>
                </c:pt>
                <c:pt idx="1">
                  <c:v>2.3810677429594598E-2</c:v>
                </c:pt>
                <c:pt idx="2">
                  <c:v>3.1883135311815761E-2</c:v>
                </c:pt>
                <c:pt idx="3">
                  <c:v>4.6000142851196413E-2</c:v>
                </c:pt>
                <c:pt idx="4">
                  <c:v>3.6624657311224933E-2</c:v>
                </c:pt>
                <c:pt idx="5">
                  <c:v>5.390000000000001E-2</c:v>
                </c:pt>
                <c:pt idx="6">
                  <c:v>4.0216287046106927E-2</c:v>
                </c:pt>
                <c:pt idx="7">
                  <c:v>4.3859354149158557E-2</c:v>
                </c:pt>
              </c:numCache>
            </c:numRef>
          </c:val>
        </c:ser>
        <c:marker val="1"/>
        <c:axId val="47899776"/>
        <c:axId val="52612096"/>
      </c:lineChart>
      <c:catAx>
        <c:axId val="47899776"/>
        <c:scaling>
          <c:orientation val="minMax"/>
        </c:scaling>
        <c:axPos val="b"/>
        <c:tickLblPos val="nextTo"/>
        <c:crossAx val="52612096"/>
        <c:crosses val="autoZero"/>
        <c:auto val="1"/>
        <c:lblAlgn val="ctr"/>
        <c:lblOffset val="100"/>
      </c:catAx>
      <c:valAx>
        <c:axId val="52612096"/>
        <c:scaling>
          <c:orientation val="minMax"/>
        </c:scaling>
        <c:axPos val="l"/>
        <c:numFmt formatCode="0%" sourceLinked="0"/>
        <c:tickLblPos val="nextTo"/>
        <c:crossAx val="47899776"/>
        <c:crosses val="autoZero"/>
        <c:crossBetween val="between"/>
      </c:valAx>
    </c:plotArea>
    <c:legend>
      <c:legendPos val="r"/>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Summary!$J$2</c:f>
              <c:strCache>
                <c:ptCount val="1"/>
                <c:pt idx="0">
                  <c:v>White, Non-Hispanic</c:v>
                </c:pt>
              </c:strCache>
            </c:strRef>
          </c:tx>
          <c:marker>
            <c:symbol val="none"/>
          </c:marker>
          <c:cat>
            <c:strRef>
              <c:f>Summary!$I$3:$I$10</c:f>
              <c:strCache>
                <c:ptCount val="8"/>
                <c:pt idx="0">
                  <c:v>2006</c:v>
                </c:pt>
                <c:pt idx="1">
                  <c:v>2007</c:v>
                </c:pt>
                <c:pt idx="2">
                  <c:v>2008</c:v>
                </c:pt>
                <c:pt idx="3">
                  <c:v>2009</c:v>
                </c:pt>
                <c:pt idx="4">
                  <c:v>2010</c:v>
                </c:pt>
                <c:pt idx="5">
                  <c:v>3rd Q 2011</c:v>
                </c:pt>
                <c:pt idx="6">
                  <c:v>4th Q 2011</c:v>
                </c:pt>
                <c:pt idx="7">
                  <c:v>1st Q 2012</c:v>
                </c:pt>
              </c:strCache>
            </c:strRef>
          </c:cat>
          <c:val>
            <c:numRef>
              <c:f>Summary!$J$3:$J$10</c:f>
              <c:numCache>
                <c:formatCode>0.00%</c:formatCode>
                <c:ptCount val="8"/>
                <c:pt idx="0">
                  <c:v>1.9862357311722586E-2</c:v>
                </c:pt>
                <c:pt idx="1">
                  <c:v>1.8825333212332266E-2</c:v>
                </c:pt>
                <c:pt idx="2">
                  <c:v>3.1977854306897487E-2</c:v>
                </c:pt>
                <c:pt idx="3">
                  <c:v>4.3401102182965265E-2</c:v>
                </c:pt>
                <c:pt idx="4">
                  <c:v>2.8638313735904267E-2</c:v>
                </c:pt>
                <c:pt idx="5">
                  <c:v>3.6300000000000006E-2</c:v>
                </c:pt>
                <c:pt idx="6">
                  <c:v>3.035367980425278E-2</c:v>
                </c:pt>
                <c:pt idx="7">
                  <c:v>2.8806441461601214E-2</c:v>
                </c:pt>
              </c:numCache>
            </c:numRef>
          </c:val>
        </c:ser>
        <c:ser>
          <c:idx val="1"/>
          <c:order val="1"/>
          <c:tx>
            <c:strRef>
              <c:f>Summary!$K$2</c:f>
              <c:strCache>
                <c:ptCount val="1"/>
                <c:pt idx="0">
                  <c:v>Black, Non-Hispanic</c:v>
                </c:pt>
              </c:strCache>
            </c:strRef>
          </c:tx>
          <c:marker>
            <c:symbol val="none"/>
          </c:marker>
          <c:cat>
            <c:strRef>
              <c:f>Summary!$I$3:$I$10</c:f>
              <c:strCache>
                <c:ptCount val="8"/>
                <c:pt idx="0">
                  <c:v>2006</c:v>
                </c:pt>
                <c:pt idx="1">
                  <c:v>2007</c:v>
                </c:pt>
                <c:pt idx="2">
                  <c:v>2008</c:v>
                </c:pt>
                <c:pt idx="3">
                  <c:v>2009</c:v>
                </c:pt>
                <c:pt idx="4">
                  <c:v>2010</c:v>
                </c:pt>
                <c:pt idx="5">
                  <c:v>3rd Q 2011</c:v>
                </c:pt>
                <c:pt idx="6">
                  <c:v>4th Q 2011</c:v>
                </c:pt>
                <c:pt idx="7">
                  <c:v>1st Q 2012</c:v>
                </c:pt>
              </c:strCache>
            </c:strRef>
          </c:cat>
          <c:val>
            <c:numRef>
              <c:f>Summary!$K$3:$K$10</c:f>
              <c:numCache>
                <c:formatCode>0.00%</c:formatCode>
                <c:ptCount val="8"/>
                <c:pt idx="0">
                  <c:v>9.8486514952639145E-2</c:v>
                </c:pt>
                <c:pt idx="1">
                  <c:v>9.4437257222507481E-2</c:v>
                </c:pt>
                <c:pt idx="2">
                  <c:v>0.10396965624181616</c:v>
                </c:pt>
                <c:pt idx="3">
                  <c:v>0.15695134029242472</c:v>
                </c:pt>
                <c:pt idx="4">
                  <c:v>0.18402777902334869</c:v>
                </c:pt>
                <c:pt idx="5">
                  <c:v>0.20680000000000001</c:v>
                </c:pt>
                <c:pt idx="6">
                  <c:v>0.20399128561885729</c:v>
                </c:pt>
                <c:pt idx="7">
                  <c:v>0.18940060428495895</c:v>
                </c:pt>
              </c:numCache>
            </c:numRef>
          </c:val>
        </c:ser>
        <c:ser>
          <c:idx val="3"/>
          <c:order val="2"/>
          <c:tx>
            <c:strRef>
              <c:f>Summary!$M$2</c:f>
              <c:strCache>
                <c:ptCount val="1"/>
                <c:pt idx="0">
                  <c:v>Hispanic</c:v>
                </c:pt>
              </c:strCache>
            </c:strRef>
          </c:tx>
          <c:marker>
            <c:symbol val="none"/>
          </c:marker>
          <c:cat>
            <c:strRef>
              <c:f>Summary!$I$3:$I$10</c:f>
              <c:strCache>
                <c:ptCount val="8"/>
                <c:pt idx="0">
                  <c:v>2006</c:v>
                </c:pt>
                <c:pt idx="1">
                  <c:v>2007</c:v>
                </c:pt>
                <c:pt idx="2">
                  <c:v>2008</c:v>
                </c:pt>
                <c:pt idx="3">
                  <c:v>2009</c:v>
                </c:pt>
                <c:pt idx="4">
                  <c:v>2010</c:v>
                </c:pt>
                <c:pt idx="5">
                  <c:v>3rd Q 2011</c:v>
                </c:pt>
                <c:pt idx="6">
                  <c:v>4th Q 2011</c:v>
                </c:pt>
                <c:pt idx="7">
                  <c:v>1st Q 2012</c:v>
                </c:pt>
              </c:strCache>
            </c:strRef>
          </c:cat>
          <c:val>
            <c:numRef>
              <c:f>Summary!$M$3:$M$10</c:f>
              <c:numCache>
                <c:formatCode>0.00%</c:formatCode>
                <c:ptCount val="8"/>
                <c:pt idx="0">
                  <c:v>4.0688607773204065E-2</c:v>
                </c:pt>
                <c:pt idx="1">
                  <c:v>3.6222769029856813E-2</c:v>
                </c:pt>
                <c:pt idx="2">
                  <c:v>4.6861003255577363E-2</c:v>
                </c:pt>
                <c:pt idx="3">
                  <c:v>8.8984063760566251E-2</c:v>
                </c:pt>
                <c:pt idx="4">
                  <c:v>9.6428849506867739E-2</c:v>
                </c:pt>
                <c:pt idx="5">
                  <c:v>7.9199999999999993E-2</c:v>
                </c:pt>
                <c:pt idx="6">
                  <c:v>8.6005974321557627E-2</c:v>
                </c:pt>
                <c:pt idx="7">
                  <c:v>5.6059288090779855E-2</c:v>
                </c:pt>
              </c:numCache>
            </c:numRef>
          </c:val>
        </c:ser>
        <c:marker val="1"/>
        <c:axId val="110342912"/>
        <c:axId val="110344832"/>
      </c:lineChart>
      <c:catAx>
        <c:axId val="110342912"/>
        <c:scaling>
          <c:orientation val="minMax"/>
        </c:scaling>
        <c:axPos val="b"/>
        <c:tickLblPos val="nextTo"/>
        <c:crossAx val="110344832"/>
        <c:crosses val="autoZero"/>
        <c:auto val="1"/>
        <c:lblAlgn val="ctr"/>
        <c:lblOffset val="100"/>
      </c:catAx>
      <c:valAx>
        <c:axId val="110344832"/>
        <c:scaling>
          <c:orientation val="minMax"/>
        </c:scaling>
        <c:axPos val="l"/>
        <c:numFmt formatCode="0%" sourceLinked="0"/>
        <c:tickLblPos val="nextTo"/>
        <c:crossAx val="110342912"/>
        <c:crosses val="autoZero"/>
        <c:crossBetween val="between"/>
      </c:valAx>
    </c:plotArea>
    <c:legend>
      <c:legendPos val="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Summary!$P$2</c:f>
              <c:strCache>
                <c:ptCount val="1"/>
                <c:pt idx="0">
                  <c:v>16-24</c:v>
                </c:pt>
              </c:strCache>
            </c:strRef>
          </c:tx>
          <c:marker>
            <c:symbol val="none"/>
          </c:marker>
          <c:cat>
            <c:strRef>
              <c:f>Summary!$O$3:$O$10</c:f>
              <c:strCache>
                <c:ptCount val="8"/>
                <c:pt idx="0">
                  <c:v>2006</c:v>
                </c:pt>
                <c:pt idx="1">
                  <c:v>2007</c:v>
                </c:pt>
                <c:pt idx="2">
                  <c:v>2008</c:v>
                </c:pt>
                <c:pt idx="3">
                  <c:v>2009</c:v>
                </c:pt>
                <c:pt idx="4">
                  <c:v>2010</c:v>
                </c:pt>
                <c:pt idx="5">
                  <c:v>3rd Q 2011</c:v>
                </c:pt>
                <c:pt idx="6">
                  <c:v>4th Q 2011</c:v>
                </c:pt>
                <c:pt idx="7">
                  <c:v>1st Q 2012</c:v>
                </c:pt>
              </c:strCache>
            </c:strRef>
          </c:cat>
          <c:val>
            <c:numRef>
              <c:f>Summary!$P$3:$P$10</c:f>
              <c:numCache>
                <c:formatCode>0.00%</c:formatCode>
                <c:ptCount val="8"/>
                <c:pt idx="0">
                  <c:v>0.10168749641378087</c:v>
                </c:pt>
                <c:pt idx="1">
                  <c:v>0.10913041332376043</c:v>
                </c:pt>
                <c:pt idx="2">
                  <c:v>0.12104116840032668</c:v>
                </c:pt>
                <c:pt idx="3">
                  <c:v>0.18580890004902545</c:v>
                </c:pt>
                <c:pt idx="4">
                  <c:v>0.19625806085075242</c:v>
                </c:pt>
                <c:pt idx="5">
                  <c:v>0.19635000000000002</c:v>
                </c:pt>
                <c:pt idx="6">
                  <c:v>0.16806731892237825</c:v>
                </c:pt>
                <c:pt idx="7">
                  <c:v>0.20520394395919594</c:v>
                </c:pt>
              </c:numCache>
            </c:numRef>
          </c:val>
        </c:ser>
        <c:ser>
          <c:idx val="1"/>
          <c:order val="1"/>
          <c:tx>
            <c:strRef>
              <c:f>Summary!$Q$2</c:f>
              <c:strCache>
                <c:ptCount val="1"/>
                <c:pt idx="0">
                  <c:v>25-44</c:v>
                </c:pt>
              </c:strCache>
            </c:strRef>
          </c:tx>
          <c:marker>
            <c:symbol val="none"/>
          </c:marker>
          <c:cat>
            <c:strRef>
              <c:f>Summary!$O$3:$O$10</c:f>
              <c:strCache>
                <c:ptCount val="8"/>
                <c:pt idx="0">
                  <c:v>2006</c:v>
                </c:pt>
                <c:pt idx="1">
                  <c:v>2007</c:v>
                </c:pt>
                <c:pt idx="2">
                  <c:v>2008</c:v>
                </c:pt>
                <c:pt idx="3">
                  <c:v>2009</c:v>
                </c:pt>
                <c:pt idx="4">
                  <c:v>2010</c:v>
                </c:pt>
                <c:pt idx="5">
                  <c:v>3rd Q 2011</c:v>
                </c:pt>
                <c:pt idx="6">
                  <c:v>4th Q 2011</c:v>
                </c:pt>
                <c:pt idx="7">
                  <c:v>1st Q 2012</c:v>
                </c:pt>
              </c:strCache>
            </c:strRef>
          </c:cat>
          <c:val>
            <c:numRef>
              <c:f>Summary!$Q$3:$Q$10</c:f>
              <c:numCache>
                <c:formatCode>0.00%</c:formatCode>
                <c:ptCount val="8"/>
                <c:pt idx="0">
                  <c:v>4.6897637852460504E-2</c:v>
                </c:pt>
                <c:pt idx="1">
                  <c:v>4.4934496377047828E-2</c:v>
                </c:pt>
                <c:pt idx="2">
                  <c:v>5.5913734688108896E-2</c:v>
                </c:pt>
                <c:pt idx="3">
                  <c:v>8.1800932801974632E-2</c:v>
                </c:pt>
                <c:pt idx="4">
                  <c:v>7.9657842894028844E-2</c:v>
                </c:pt>
                <c:pt idx="5">
                  <c:v>7.5600000000000001E-2</c:v>
                </c:pt>
                <c:pt idx="6">
                  <c:v>8.4540500140580746E-2</c:v>
                </c:pt>
                <c:pt idx="7">
                  <c:v>7.1000301180091194E-2</c:v>
                </c:pt>
              </c:numCache>
            </c:numRef>
          </c:val>
        </c:ser>
        <c:ser>
          <c:idx val="2"/>
          <c:order val="2"/>
          <c:tx>
            <c:strRef>
              <c:f>Summary!$R$2</c:f>
              <c:strCache>
                <c:ptCount val="1"/>
                <c:pt idx="0">
                  <c:v>45-64</c:v>
                </c:pt>
              </c:strCache>
            </c:strRef>
          </c:tx>
          <c:marker>
            <c:symbol val="none"/>
          </c:marker>
          <c:cat>
            <c:strRef>
              <c:f>Summary!$O$3:$O$10</c:f>
              <c:strCache>
                <c:ptCount val="8"/>
                <c:pt idx="0">
                  <c:v>2006</c:v>
                </c:pt>
                <c:pt idx="1">
                  <c:v>2007</c:v>
                </c:pt>
                <c:pt idx="2">
                  <c:v>2008</c:v>
                </c:pt>
                <c:pt idx="3">
                  <c:v>2009</c:v>
                </c:pt>
                <c:pt idx="4">
                  <c:v>2010</c:v>
                </c:pt>
                <c:pt idx="5">
                  <c:v>3rd Q 2011</c:v>
                </c:pt>
                <c:pt idx="6">
                  <c:v>4th Q 2011</c:v>
                </c:pt>
                <c:pt idx="7">
                  <c:v>1st Q 2012</c:v>
                </c:pt>
              </c:strCache>
            </c:strRef>
          </c:cat>
          <c:val>
            <c:numRef>
              <c:f>Summary!$R$3:$R$10</c:f>
              <c:numCache>
                <c:formatCode>0.00%</c:formatCode>
                <c:ptCount val="8"/>
                <c:pt idx="0">
                  <c:v>5.5522915545642593E-2</c:v>
                </c:pt>
                <c:pt idx="1">
                  <c:v>4.506986286422561E-2</c:v>
                </c:pt>
                <c:pt idx="2">
                  <c:v>5.6149677234849101E-2</c:v>
                </c:pt>
                <c:pt idx="3">
                  <c:v>8.4828800600103726E-2</c:v>
                </c:pt>
                <c:pt idx="4">
                  <c:v>9.6493962514768467E-2</c:v>
                </c:pt>
                <c:pt idx="5">
                  <c:v>0.12075000000000002</c:v>
                </c:pt>
                <c:pt idx="6">
                  <c:v>0.10685753284813865</c:v>
                </c:pt>
                <c:pt idx="7">
                  <c:v>9.7119054756770684E-2</c:v>
                </c:pt>
              </c:numCache>
            </c:numRef>
          </c:val>
        </c:ser>
        <c:marker val="1"/>
        <c:axId val="127214720"/>
        <c:axId val="128201472"/>
      </c:lineChart>
      <c:catAx>
        <c:axId val="127214720"/>
        <c:scaling>
          <c:orientation val="minMax"/>
        </c:scaling>
        <c:axPos val="b"/>
        <c:tickLblPos val="nextTo"/>
        <c:crossAx val="128201472"/>
        <c:crosses val="autoZero"/>
        <c:auto val="1"/>
        <c:lblAlgn val="ctr"/>
        <c:lblOffset val="100"/>
      </c:catAx>
      <c:valAx>
        <c:axId val="128201472"/>
        <c:scaling>
          <c:orientation val="minMax"/>
        </c:scaling>
        <c:axPos val="l"/>
        <c:numFmt formatCode="0%" sourceLinked="0"/>
        <c:tickLblPos val="nextTo"/>
        <c:crossAx val="127214720"/>
        <c:crosses val="autoZero"/>
        <c:crossBetween val="between"/>
      </c:valAx>
    </c:plotArea>
    <c:legend>
      <c:legendPos val="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Summary!$U$2</c:f>
              <c:strCache>
                <c:ptCount val="1"/>
                <c:pt idx="0">
                  <c:v>Two Parents Without Child</c:v>
                </c:pt>
              </c:strCache>
            </c:strRef>
          </c:tx>
          <c:marker>
            <c:symbol val="none"/>
          </c:marker>
          <c:cat>
            <c:strRef>
              <c:f>Summary!$T$3:$T$10</c:f>
              <c:strCache>
                <c:ptCount val="8"/>
                <c:pt idx="0">
                  <c:v>2006</c:v>
                </c:pt>
                <c:pt idx="1">
                  <c:v>2007</c:v>
                </c:pt>
                <c:pt idx="2">
                  <c:v>2008</c:v>
                </c:pt>
                <c:pt idx="3">
                  <c:v>2009</c:v>
                </c:pt>
                <c:pt idx="4">
                  <c:v>2010</c:v>
                </c:pt>
                <c:pt idx="5">
                  <c:v>3rd Q 2011</c:v>
                </c:pt>
                <c:pt idx="6">
                  <c:v>4th Q 2011</c:v>
                </c:pt>
                <c:pt idx="7">
                  <c:v>1st Q 2012</c:v>
                </c:pt>
              </c:strCache>
            </c:strRef>
          </c:cat>
          <c:val>
            <c:numRef>
              <c:f>Summary!$U$3:$U$10</c:f>
              <c:numCache>
                <c:formatCode>0.00%</c:formatCode>
                <c:ptCount val="8"/>
                <c:pt idx="0">
                  <c:v>3.5263292425790377E-2</c:v>
                </c:pt>
                <c:pt idx="1">
                  <c:v>2.4530991857136308E-2</c:v>
                </c:pt>
                <c:pt idx="2">
                  <c:v>3.6470322259172981E-2</c:v>
                </c:pt>
                <c:pt idx="3">
                  <c:v>4.8436604055908342E-2</c:v>
                </c:pt>
                <c:pt idx="4">
                  <c:v>4.9867260892392941E-2</c:v>
                </c:pt>
                <c:pt idx="5">
                  <c:v>6.6233131080975838E-2</c:v>
                </c:pt>
                <c:pt idx="6">
                  <c:v>5.8940892200174747E-2</c:v>
                </c:pt>
                <c:pt idx="7">
                  <c:v>8.3370947181607202E-2</c:v>
                </c:pt>
              </c:numCache>
            </c:numRef>
          </c:val>
        </c:ser>
        <c:ser>
          <c:idx val="1"/>
          <c:order val="1"/>
          <c:tx>
            <c:strRef>
              <c:f>Summary!$V$2</c:f>
              <c:strCache>
                <c:ptCount val="1"/>
                <c:pt idx="0">
                  <c:v>Two Parents With Child</c:v>
                </c:pt>
              </c:strCache>
            </c:strRef>
          </c:tx>
          <c:marker>
            <c:symbol val="none"/>
          </c:marker>
          <c:cat>
            <c:strRef>
              <c:f>Summary!$T$3:$T$10</c:f>
              <c:strCache>
                <c:ptCount val="8"/>
                <c:pt idx="0">
                  <c:v>2006</c:v>
                </c:pt>
                <c:pt idx="1">
                  <c:v>2007</c:v>
                </c:pt>
                <c:pt idx="2">
                  <c:v>2008</c:v>
                </c:pt>
                <c:pt idx="3">
                  <c:v>2009</c:v>
                </c:pt>
                <c:pt idx="4">
                  <c:v>2010</c:v>
                </c:pt>
                <c:pt idx="5">
                  <c:v>3rd Q 2011</c:v>
                </c:pt>
                <c:pt idx="6">
                  <c:v>4th Q 2011</c:v>
                </c:pt>
                <c:pt idx="7">
                  <c:v>1st Q 2012</c:v>
                </c:pt>
              </c:strCache>
            </c:strRef>
          </c:cat>
          <c:val>
            <c:numRef>
              <c:f>Summary!$V$3:$V$10</c:f>
              <c:numCache>
                <c:formatCode>0.00%</c:formatCode>
                <c:ptCount val="8"/>
                <c:pt idx="0">
                  <c:v>3.2279967138475106E-2</c:v>
                </c:pt>
                <c:pt idx="1">
                  <c:v>2.7747124510530401E-2</c:v>
                </c:pt>
                <c:pt idx="2">
                  <c:v>3.6692871470857098E-2</c:v>
                </c:pt>
                <c:pt idx="3">
                  <c:v>5.6492641177649135E-2</c:v>
                </c:pt>
                <c:pt idx="4">
                  <c:v>5.9244340835230634E-2</c:v>
                </c:pt>
                <c:pt idx="5">
                  <c:v>5.8949059375248865E-2</c:v>
                </c:pt>
                <c:pt idx="6">
                  <c:v>6.318302950141487E-2</c:v>
                </c:pt>
                <c:pt idx="7">
                  <c:v>4.1039657926146576E-2</c:v>
                </c:pt>
              </c:numCache>
            </c:numRef>
          </c:val>
        </c:ser>
        <c:ser>
          <c:idx val="2"/>
          <c:order val="2"/>
          <c:tx>
            <c:strRef>
              <c:f>Summary!$W$2</c:f>
              <c:strCache>
                <c:ptCount val="1"/>
                <c:pt idx="0">
                  <c:v>One Parent Without Child</c:v>
                </c:pt>
              </c:strCache>
            </c:strRef>
          </c:tx>
          <c:marker>
            <c:symbol val="none"/>
          </c:marker>
          <c:cat>
            <c:strRef>
              <c:f>Summary!$T$3:$T$10</c:f>
              <c:strCache>
                <c:ptCount val="8"/>
                <c:pt idx="0">
                  <c:v>2006</c:v>
                </c:pt>
                <c:pt idx="1">
                  <c:v>2007</c:v>
                </c:pt>
                <c:pt idx="2">
                  <c:v>2008</c:v>
                </c:pt>
                <c:pt idx="3">
                  <c:v>2009</c:v>
                </c:pt>
                <c:pt idx="4">
                  <c:v>2010</c:v>
                </c:pt>
                <c:pt idx="5">
                  <c:v>3rd Q 2011</c:v>
                </c:pt>
                <c:pt idx="6">
                  <c:v>4th Q 2011</c:v>
                </c:pt>
                <c:pt idx="7">
                  <c:v>1st Q 2012</c:v>
                </c:pt>
              </c:strCache>
            </c:strRef>
          </c:cat>
          <c:val>
            <c:numRef>
              <c:f>Summary!$W$3:$W$10</c:f>
              <c:numCache>
                <c:formatCode>0.00%</c:formatCode>
                <c:ptCount val="8"/>
                <c:pt idx="0">
                  <c:v>6.0104557509314684E-2</c:v>
                </c:pt>
                <c:pt idx="1">
                  <c:v>5.8956711094106273E-2</c:v>
                </c:pt>
                <c:pt idx="2">
                  <c:v>7.1102756443592097E-2</c:v>
                </c:pt>
                <c:pt idx="3">
                  <c:v>0.10380793771314015</c:v>
                </c:pt>
                <c:pt idx="4">
                  <c:v>0.10526013139348261</c:v>
                </c:pt>
                <c:pt idx="5">
                  <c:v>0.11308014640535929</c:v>
                </c:pt>
                <c:pt idx="6">
                  <c:v>0.10564131789052585</c:v>
                </c:pt>
                <c:pt idx="7">
                  <c:v>9.4674008640080853E-2</c:v>
                </c:pt>
              </c:numCache>
            </c:numRef>
          </c:val>
        </c:ser>
        <c:ser>
          <c:idx val="3"/>
          <c:order val="3"/>
          <c:tx>
            <c:strRef>
              <c:f>Summary!$X$2</c:f>
              <c:strCache>
                <c:ptCount val="1"/>
                <c:pt idx="0">
                  <c:v>One Parent With Child</c:v>
                </c:pt>
              </c:strCache>
            </c:strRef>
          </c:tx>
          <c:marker>
            <c:symbol val="none"/>
          </c:marker>
          <c:cat>
            <c:strRef>
              <c:f>Summary!$T$3:$T$10</c:f>
              <c:strCache>
                <c:ptCount val="8"/>
                <c:pt idx="0">
                  <c:v>2006</c:v>
                </c:pt>
                <c:pt idx="1">
                  <c:v>2007</c:v>
                </c:pt>
                <c:pt idx="2">
                  <c:v>2008</c:v>
                </c:pt>
                <c:pt idx="3">
                  <c:v>2009</c:v>
                </c:pt>
                <c:pt idx="4">
                  <c:v>2010</c:v>
                </c:pt>
                <c:pt idx="5">
                  <c:v>3rd Q 2011</c:v>
                </c:pt>
                <c:pt idx="6">
                  <c:v>4th Q 2011</c:v>
                </c:pt>
                <c:pt idx="7">
                  <c:v>1st Q 2012</c:v>
                </c:pt>
              </c:strCache>
            </c:strRef>
          </c:cat>
          <c:val>
            <c:numRef>
              <c:f>Summary!$X$3:$X$10</c:f>
              <c:numCache>
                <c:formatCode>0.00%</c:formatCode>
                <c:ptCount val="8"/>
                <c:pt idx="0">
                  <c:v>0.1195184649718584</c:v>
                </c:pt>
                <c:pt idx="1">
                  <c:v>0.14224819266461294</c:v>
                </c:pt>
                <c:pt idx="2">
                  <c:v>0.16319084856280094</c:v>
                </c:pt>
                <c:pt idx="3">
                  <c:v>0.22541883774382357</c:v>
                </c:pt>
                <c:pt idx="4">
                  <c:v>0.23813419178097348</c:v>
                </c:pt>
                <c:pt idx="5">
                  <c:v>0.22959655892852307</c:v>
                </c:pt>
                <c:pt idx="6">
                  <c:v>0.23052503052503137</c:v>
                </c:pt>
                <c:pt idx="7">
                  <c:v>0.22531838448437214</c:v>
                </c:pt>
              </c:numCache>
            </c:numRef>
          </c:val>
        </c:ser>
        <c:marker val="1"/>
        <c:axId val="130404352"/>
        <c:axId val="130405888"/>
      </c:lineChart>
      <c:catAx>
        <c:axId val="130404352"/>
        <c:scaling>
          <c:orientation val="minMax"/>
        </c:scaling>
        <c:axPos val="b"/>
        <c:tickLblPos val="nextTo"/>
        <c:crossAx val="130405888"/>
        <c:crosses val="autoZero"/>
        <c:auto val="1"/>
        <c:lblAlgn val="ctr"/>
        <c:lblOffset val="100"/>
      </c:catAx>
      <c:valAx>
        <c:axId val="130405888"/>
        <c:scaling>
          <c:orientation val="minMax"/>
        </c:scaling>
        <c:axPos val="l"/>
        <c:numFmt formatCode="0%" sourceLinked="0"/>
        <c:tickLblPos val="nextTo"/>
        <c:crossAx val="130404352"/>
        <c:crosses val="autoZero"/>
        <c:crossBetween val="between"/>
      </c:valAx>
    </c:plotArea>
    <c:legend>
      <c:legendPos val="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Summary!$AA$2</c:f>
              <c:strCache>
                <c:ptCount val="1"/>
                <c:pt idx="0">
                  <c:v>High-wage</c:v>
                </c:pt>
              </c:strCache>
            </c:strRef>
          </c:tx>
          <c:marker>
            <c:symbol val="none"/>
          </c:marker>
          <c:cat>
            <c:strRef>
              <c:f>Summary!$Z$3:$Z$10</c:f>
              <c:strCache>
                <c:ptCount val="8"/>
                <c:pt idx="0">
                  <c:v>2006</c:v>
                </c:pt>
                <c:pt idx="1">
                  <c:v>2007</c:v>
                </c:pt>
                <c:pt idx="2">
                  <c:v>2008</c:v>
                </c:pt>
                <c:pt idx="3">
                  <c:v>2009</c:v>
                </c:pt>
                <c:pt idx="4">
                  <c:v>2010</c:v>
                </c:pt>
                <c:pt idx="5">
                  <c:v>3rd Q 2011</c:v>
                </c:pt>
                <c:pt idx="6">
                  <c:v>4th Q 2011</c:v>
                </c:pt>
                <c:pt idx="7">
                  <c:v>1st Q 2012</c:v>
                </c:pt>
              </c:strCache>
            </c:strRef>
          </c:cat>
          <c:val>
            <c:numRef>
              <c:f>Summary!$AA$3:$AA$10</c:f>
              <c:numCache>
                <c:formatCode>0.00%</c:formatCode>
                <c:ptCount val="8"/>
                <c:pt idx="0">
                  <c:v>2.2232491049332118E-2</c:v>
                </c:pt>
                <c:pt idx="1">
                  <c:v>2.1984475267781033E-2</c:v>
                </c:pt>
                <c:pt idx="2">
                  <c:v>2.9374791399058138E-2</c:v>
                </c:pt>
                <c:pt idx="3">
                  <c:v>5.3753977543443979E-2</c:v>
                </c:pt>
                <c:pt idx="4">
                  <c:v>4.4196687952267263E-2</c:v>
                </c:pt>
                <c:pt idx="5">
                  <c:v>5.6700000000000014E-2</c:v>
                </c:pt>
                <c:pt idx="6">
                  <c:v>3.8138519332797938E-2</c:v>
                </c:pt>
                <c:pt idx="7">
                  <c:v>1.5331406192331977E-2</c:v>
                </c:pt>
              </c:numCache>
            </c:numRef>
          </c:val>
        </c:ser>
        <c:ser>
          <c:idx val="1"/>
          <c:order val="1"/>
          <c:tx>
            <c:strRef>
              <c:f>Summary!$AB$2</c:f>
              <c:strCache>
                <c:ptCount val="1"/>
                <c:pt idx="0">
                  <c:v>Medium-wage</c:v>
                </c:pt>
              </c:strCache>
            </c:strRef>
          </c:tx>
          <c:marker>
            <c:symbol val="none"/>
          </c:marker>
          <c:cat>
            <c:strRef>
              <c:f>Summary!$Z$3:$Z$10</c:f>
              <c:strCache>
                <c:ptCount val="8"/>
                <c:pt idx="0">
                  <c:v>2006</c:v>
                </c:pt>
                <c:pt idx="1">
                  <c:v>2007</c:v>
                </c:pt>
                <c:pt idx="2">
                  <c:v>2008</c:v>
                </c:pt>
                <c:pt idx="3">
                  <c:v>2009</c:v>
                </c:pt>
                <c:pt idx="4">
                  <c:v>2010</c:v>
                </c:pt>
                <c:pt idx="5">
                  <c:v>3rd Q 2011</c:v>
                </c:pt>
                <c:pt idx="6">
                  <c:v>4th Q 2011</c:v>
                </c:pt>
                <c:pt idx="7">
                  <c:v>1st Q 2012</c:v>
                </c:pt>
              </c:strCache>
            </c:strRef>
          </c:cat>
          <c:val>
            <c:numRef>
              <c:f>Summary!$AB$3:$AB$10</c:f>
              <c:numCache>
                <c:formatCode>0.00%</c:formatCode>
                <c:ptCount val="8"/>
                <c:pt idx="0">
                  <c:v>5.0712965541300975E-2</c:v>
                </c:pt>
                <c:pt idx="1">
                  <c:v>4.4278198742282775E-2</c:v>
                </c:pt>
                <c:pt idx="2">
                  <c:v>6.2318448095892404E-2</c:v>
                </c:pt>
                <c:pt idx="3">
                  <c:v>8.5433922313673707E-2</c:v>
                </c:pt>
                <c:pt idx="4">
                  <c:v>8.348851396118101E-2</c:v>
                </c:pt>
                <c:pt idx="5">
                  <c:v>9.6600000000000005E-2</c:v>
                </c:pt>
                <c:pt idx="6">
                  <c:v>9.7296670798025162E-2</c:v>
                </c:pt>
                <c:pt idx="7">
                  <c:v>9.106545668008989E-2</c:v>
                </c:pt>
              </c:numCache>
            </c:numRef>
          </c:val>
        </c:ser>
        <c:ser>
          <c:idx val="2"/>
          <c:order val="2"/>
          <c:tx>
            <c:strRef>
              <c:f>Summary!$AC$2</c:f>
              <c:strCache>
                <c:ptCount val="1"/>
                <c:pt idx="0">
                  <c:v>Low-wage</c:v>
                </c:pt>
              </c:strCache>
            </c:strRef>
          </c:tx>
          <c:marker>
            <c:symbol val="none"/>
          </c:marker>
          <c:cat>
            <c:strRef>
              <c:f>Summary!$Z$3:$Z$10</c:f>
              <c:strCache>
                <c:ptCount val="8"/>
                <c:pt idx="0">
                  <c:v>2006</c:v>
                </c:pt>
                <c:pt idx="1">
                  <c:v>2007</c:v>
                </c:pt>
                <c:pt idx="2">
                  <c:v>2008</c:v>
                </c:pt>
                <c:pt idx="3">
                  <c:v>2009</c:v>
                </c:pt>
                <c:pt idx="4">
                  <c:v>2010</c:v>
                </c:pt>
                <c:pt idx="5">
                  <c:v>3rd Q 2011</c:v>
                </c:pt>
                <c:pt idx="6">
                  <c:v>4th Q 2011</c:v>
                </c:pt>
                <c:pt idx="7">
                  <c:v>1st Q 2012</c:v>
                </c:pt>
              </c:strCache>
            </c:strRef>
          </c:cat>
          <c:val>
            <c:numRef>
              <c:f>Summary!$AC$3:$AC$10</c:f>
              <c:numCache>
                <c:formatCode>0.00%</c:formatCode>
                <c:ptCount val="8"/>
                <c:pt idx="0">
                  <c:v>0.10695496639835055</c:v>
                </c:pt>
                <c:pt idx="1">
                  <c:v>0.10307939691854855</c:v>
                </c:pt>
                <c:pt idx="2">
                  <c:v>0.1082943356205103</c:v>
                </c:pt>
                <c:pt idx="3">
                  <c:v>0.15918834186578276</c:v>
                </c:pt>
                <c:pt idx="4">
                  <c:v>0.19012375969989967</c:v>
                </c:pt>
                <c:pt idx="5">
                  <c:v>0.1638</c:v>
                </c:pt>
                <c:pt idx="6">
                  <c:v>0.17076853133785141</c:v>
                </c:pt>
                <c:pt idx="7">
                  <c:v>0.18212348236367834</c:v>
                </c:pt>
              </c:numCache>
            </c:numRef>
          </c:val>
        </c:ser>
        <c:marker val="1"/>
        <c:axId val="46459904"/>
        <c:axId val="46617344"/>
      </c:lineChart>
      <c:catAx>
        <c:axId val="46459904"/>
        <c:scaling>
          <c:orientation val="minMax"/>
        </c:scaling>
        <c:axPos val="b"/>
        <c:tickLblPos val="nextTo"/>
        <c:crossAx val="46617344"/>
        <c:crosses val="autoZero"/>
        <c:auto val="1"/>
        <c:lblAlgn val="ctr"/>
        <c:lblOffset val="100"/>
      </c:catAx>
      <c:valAx>
        <c:axId val="46617344"/>
        <c:scaling>
          <c:orientation val="minMax"/>
        </c:scaling>
        <c:axPos val="l"/>
        <c:numFmt formatCode="0%" sourceLinked="0"/>
        <c:tickLblPos val="nextTo"/>
        <c:crossAx val="46459904"/>
        <c:crosses val="autoZero"/>
        <c:crossBetween val="between"/>
      </c:valAx>
    </c:plotArea>
    <c:legend>
      <c:legendPos val="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16FE-42CE-4E29-9BC1-0CAAE1CD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 On Budget and Policy Priorities</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biegler</dc:creator>
  <cp:lastModifiedBy>silverman</cp:lastModifiedBy>
  <cp:revision>2</cp:revision>
  <cp:lastPrinted>2012-02-21T15:17:00Z</cp:lastPrinted>
  <dcterms:created xsi:type="dcterms:W3CDTF">2012-05-21T18:51:00Z</dcterms:created>
  <dcterms:modified xsi:type="dcterms:W3CDTF">2012-05-21T18:51:00Z</dcterms:modified>
</cp:coreProperties>
</file>